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E42" w14:textId="77777777" w:rsidR="00C311E1" w:rsidRPr="00C311E1" w:rsidRDefault="00C311E1" w:rsidP="00797EB6">
      <w:pPr>
        <w:pStyle w:val="BodyText"/>
        <w:rPr>
          <w:color w:val="005A78"/>
          <w:lang w:val="en-CA"/>
        </w:rPr>
      </w:pPr>
    </w:p>
    <w:p w14:paraId="1BB0046D" w14:textId="017E8E58" w:rsidR="00C311E1" w:rsidRPr="00F33C9E" w:rsidRDefault="00654E54" w:rsidP="00BC3CBE">
      <w:pPr>
        <w:pStyle w:val="BodyText"/>
        <w:spacing w:before="840" w:after="360" w:line="500" w:lineRule="atLeast"/>
        <w:rPr>
          <w:rFonts w:ascii="Roboto" w:hAnsi="Roboto" w:cs="Calibri"/>
          <w:b/>
          <w:bCs/>
          <w:color w:val="005A78"/>
          <w:sz w:val="72"/>
          <w:szCs w:val="72"/>
          <w:shd w:val="clear" w:color="auto" w:fill="FFFFFF"/>
          <w:lang w:val="en-US"/>
        </w:rPr>
      </w:pPr>
      <w:r w:rsidRPr="00654E54">
        <w:rPr>
          <w:rStyle w:val="normaltextrun"/>
          <w:rFonts w:ascii="Roboto" w:hAnsi="Roboto" w:cs="Calibri"/>
          <w:b/>
          <w:bCs/>
          <w:color w:val="005A78"/>
          <w:sz w:val="72"/>
          <w:szCs w:val="72"/>
          <w:shd w:val="clear" w:color="auto" w:fill="FFFFFF"/>
          <w:lang w:val="en-US"/>
        </w:rPr>
        <w:t>Q&amp;A on research grants in the event of a strike or lockout</w:t>
      </w:r>
    </w:p>
    <w:p w14:paraId="2AA9E293" w14:textId="77777777" w:rsidR="00C311E1" w:rsidRDefault="00C311E1" w:rsidP="00797EB6">
      <w:pPr>
        <w:pStyle w:val="BodyText"/>
        <w:rPr>
          <w:lang w:val="en-CA"/>
        </w:rPr>
      </w:pPr>
    </w:p>
    <w:p w14:paraId="280C4BF4" w14:textId="79D3BCE7" w:rsidR="00E9210B" w:rsidRDefault="00C2187A" w:rsidP="008B0076">
      <w:pPr>
        <w:pStyle w:val="ListParagraph"/>
        <w:numPr>
          <w:ilvl w:val="0"/>
          <w:numId w:val="17"/>
        </w:numPr>
        <w:spacing w:after="200" w:line="240" w:lineRule="exact"/>
        <w:ind w:left="714" w:hanging="357"/>
        <w:contextualSpacing w:val="0"/>
        <w:rPr>
          <w:rFonts w:cs="Arial"/>
          <w:b/>
          <w:bCs/>
          <w:lang w:val="en-CA"/>
        </w:rPr>
      </w:pPr>
      <w:r w:rsidRPr="0B228589">
        <w:rPr>
          <w:rFonts w:cs="Arial"/>
          <w:b/>
          <w:bCs/>
          <w:lang w:val="en-CA"/>
        </w:rPr>
        <w:t>Can the employer freeze access to existing Tri-Council grants or funds during a strike or lockout?</w:t>
      </w:r>
    </w:p>
    <w:p w14:paraId="0029E194" w14:textId="3D3E430B" w:rsidR="00C2187A" w:rsidRPr="007001AC" w:rsidRDefault="00C2187A" w:rsidP="005A1648">
      <w:pPr>
        <w:pStyle w:val="ListParagraph"/>
        <w:spacing w:line="240" w:lineRule="exact"/>
        <w:ind w:left="719"/>
        <w:rPr>
          <w:rFonts w:cs="Arial"/>
          <w:lang w:val="en-CA"/>
        </w:rPr>
      </w:pPr>
      <w:r w:rsidRPr="007001AC">
        <w:rPr>
          <w:rFonts w:cs="Arial"/>
          <w:lang w:val="en-CA"/>
        </w:rPr>
        <w:t>No. Tri-Council grants and funding award</w:t>
      </w:r>
      <w:r>
        <w:rPr>
          <w:rFonts w:cs="Arial"/>
          <w:lang w:val="en-CA"/>
        </w:rPr>
        <w:t>ed</w:t>
      </w:r>
      <w:r w:rsidRPr="007001AC">
        <w:rPr>
          <w:rFonts w:cs="Arial"/>
          <w:lang w:val="en-CA"/>
        </w:rPr>
        <w:t xml:space="preserve"> to researchers, students and fellows for existing research projects are maintained during a strike or lockout. CAUT has received the following communication from </w:t>
      </w:r>
      <w:r w:rsidRPr="007001AC">
        <w:rPr>
          <w:rStyle w:val="contentpasted1"/>
          <w:rFonts w:cs="Arial"/>
          <w:shd w:val="clear" w:color="auto" w:fill="FFFFFF"/>
          <w:lang w:val="en-CA"/>
        </w:rPr>
        <w:t>Benjamin Cyr,</w:t>
      </w:r>
      <w:r w:rsidRPr="0B228589">
        <w:rPr>
          <w:rStyle w:val="contentpasted1"/>
          <w:rFonts w:cs="Arial"/>
          <w:color w:val="000000" w:themeColor="text1"/>
          <w:lang w:val="en-CA"/>
        </w:rPr>
        <w:t xml:space="preserve"> </w:t>
      </w:r>
      <w:r w:rsidRPr="007001AC">
        <w:rPr>
          <w:rStyle w:val="contentpasted1"/>
          <w:rFonts w:cs="Arial"/>
          <w:shd w:val="clear" w:color="auto" w:fill="FFFFFF"/>
          <w:lang w:val="en-CA"/>
        </w:rPr>
        <w:t xml:space="preserve">the Deputy Chief Financial </w:t>
      </w:r>
      <w:proofErr w:type="gramStart"/>
      <w:r w:rsidRPr="007001AC">
        <w:rPr>
          <w:rStyle w:val="contentpasted1"/>
          <w:rFonts w:cs="Arial"/>
          <w:shd w:val="clear" w:color="auto" w:fill="FFFFFF"/>
          <w:lang w:val="en-CA"/>
        </w:rPr>
        <w:t>Officer</w:t>
      </w:r>
      <w:proofErr w:type="gramEnd"/>
      <w:r w:rsidRPr="007001AC">
        <w:rPr>
          <w:rStyle w:val="contentpasted1"/>
          <w:rFonts w:cs="Arial"/>
          <w:shd w:val="clear" w:color="auto" w:fill="FFFFFF"/>
          <w:lang w:val="en-CA"/>
        </w:rPr>
        <w:t xml:space="preserve"> and Finance DG for both </w:t>
      </w:r>
      <w:r>
        <w:rPr>
          <w:rStyle w:val="contentpasted1"/>
          <w:rFonts w:cs="Arial"/>
          <w:shd w:val="clear" w:color="auto" w:fill="FFFFFF"/>
          <w:lang w:val="en-CA"/>
        </w:rPr>
        <w:t xml:space="preserve">the </w:t>
      </w:r>
      <w:r w:rsidRPr="008922C7">
        <w:rPr>
          <w:rStyle w:val="contentpasted1"/>
          <w:rFonts w:cs="Arial"/>
          <w:shd w:val="clear" w:color="auto" w:fill="FFFFFF"/>
          <w:lang w:val="en-CA"/>
        </w:rPr>
        <w:t xml:space="preserve">Social Sciences and Humanities Research Council </w:t>
      </w:r>
      <w:r>
        <w:rPr>
          <w:rStyle w:val="contentpasted1"/>
          <w:rFonts w:cs="Arial"/>
          <w:shd w:val="clear" w:color="auto" w:fill="FFFFFF"/>
          <w:lang w:val="en-CA"/>
        </w:rPr>
        <w:t>(</w:t>
      </w:r>
      <w:r w:rsidRPr="007001AC">
        <w:rPr>
          <w:rStyle w:val="contentpasted1"/>
          <w:rFonts w:cs="Arial"/>
          <w:shd w:val="clear" w:color="auto" w:fill="FFFFFF"/>
          <w:lang w:val="en-CA"/>
        </w:rPr>
        <w:t>SSHRC</w:t>
      </w:r>
      <w:r w:rsidRPr="0B228589">
        <w:rPr>
          <w:rStyle w:val="contentpasted1"/>
          <w:rFonts w:cs="Arial"/>
          <w:color w:val="000000" w:themeColor="text1"/>
          <w:lang w:val="en-CA"/>
        </w:rPr>
        <w:t>)</w:t>
      </w:r>
      <w:r w:rsidRPr="007001AC">
        <w:rPr>
          <w:rStyle w:val="contentpasted1"/>
          <w:rFonts w:cs="Arial"/>
          <w:shd w:val="clear" w:color="auto" w:fill="FFFFFF"/>
          <w:lang w:val="en-CA"/>
        </w:rPr>
        <w:t xml:space="preserve"> and </w:t>
      </w:r>
      <w:r>
        <w:rPr>
          <w:rStyle w:val="contentpasted1"/>
          <w:rFonts w:cs="Arial"/>
          <w:shd w:val="clear" w:color="auto" w:fill="FFFFFF"/>
          <w:lang w:val="en-CA"/>
        </w:rPr>
        <w:t xml:space="preserve">the </w:t>
      </w:r>
      <w:r w:rsidRPr="00AC25A3">
        <w:rPr>
          <w:rStyle w:val="contentpasted1"/>
          <w:rFonts w:cs="Arial"/>
          <w:shd w:val="clear" w:color="auto" w:fill="FFFFFF"/>
          <w:lang w:val="en-CA"/>
        </w:rPr>
        <w:t xml:space="preserve">Natural Sciences and Engineering Research Council </w:t>
      </w:r>
      <w:r>
        <w:rPr>
          <w:rStyle w:val="contentpasted1"/>
          <w:rFonts w:cs="Arial"/>
          <w:shd w:val="clear" w:color="auto" w:fill="FFFFFF"/>
          <w:lang w:val="en-CA"/>
        </w:rPr>
        <w:t>(</w:t>
      </w:r>
      <w:r w:rsidRPr="007001AC">
        <w:rPr>
          <w:rStyle w:val="contentpasted1"/>
          <w:rFonts w:cs="Arial"/>
          <w:shd w:val="clear" w:color="auto" w:fill="FFFFFF"/>
          <w:lang w:val="en-CA"/>
        </w:rPr>
        <w:t>NSERC</w:t>
      </w:r>
      <w:r w:rsidRPr="0B228589">
        <w:rPr>
          <w:rStyle w:val="contentpasted1"/>
          <w:rFonts w:cs="Arial"/>
          <w:color w:val="000000" w:themeColor="text1"/>
          <w:lang w:val="en-CA"/>
        </w:rPr>
        <w:t>)</w:t>
      </w:r>
      <w:r w:rsidRPr="007001AC">
        <w:rPr>
          <w:rStyle w:val="contentpasted1"/>
          <w:rFonts w:cs="Arial"/>
          <w:shd w:val="clear" w:color="auto" w:fill="FFFFFF"/>
          <w:lang w:val="en-CA"/>
        </w:rPr>
        <w:t>.</w:t>
      </w:r>
    </w:p>
    <w:p w14:paraId="61BFA79B" w14:textId="77777777" w:rsidR="00C2187A" w:rsidRDefault="00C2187A" w:rsidP="005A1648">
      <w:pPr>
        <w:spacing w:line="240" w:lineRule="exact"/>
        <w:ind w:firstLine="720"/>
        <w:rPr>
          <w:rStyle w:val="contentpasted1"/>
          <w:rFonts w:cs="Arial"/>
          <w:shd w:val="clear" w:color="auto" w:fill="FFFFFF"/>
          <w:lang w:val="en-CA"/>
        </w:rPr>
      </w:pPr>
      <w:r w:rsidRPr="007001AC">
        <w:rPr>
          <w:rStyle w:val="contentpasted1"/>
          <w:rFonts w:cs="Arial"/>
          <w:shd w:val="clear" w:color="auto" w:fill="FFFFFF"/>
          <w:lang w:val="en-CA"/>
        </w:rPr>
        <w:t>In the event of a strike or lockout: </w:t>
      </w:r>
    </w:p>
    <w:p w14:paraId="05771035" w14:textId="77777777" w:rsidR="00B9115B" w:rsidRPr="007001AC" w:rsidRDefault="00B9115B" w:rsidP="00174E82">
      <w:pPr>
        <w:spacing w:line="240" w:lineRule="exact"/>
        <w:ind w:firstLine="720"/>
        <w:rPr>
          <w:rFonts w:cs="Arial"/>
          <w:lang w:val="en-CA"/>
        </w:rPr>
      </w:pPr>
    </w:p>
    <w:p w14:paraId="108DD209" w14:textId="309C18B5" w:rsidR="00C2187A" w:rsidRPr="0051605E" w:rsidRDefault="00C2187A" w:rsidP="009C5DDA">
      <w:pPr>
        <w:pStyle w:val="ListParagraph"/>
        <w:numPr>
          <w:ilvl w:val="0"/>
          <w:numId w:val="9"/>
        </w:numPr>
        <w:spacing w:after="200" w:line="240" w:lineRule="exact"/>
        <w:ind w:left="1383" w:hanging="249"/>
        <w:rPr>
          <w:rFonts w:cs="Arial"/>
        </w:rPr>
      </w:pPr>
      <w:r>
        <w:rPr>
          <w:rFonts w:cs="Arial"/>
          <w:i/>
          <w:iCs/>
          <w:color w:val="000000" w:themeColor="text1"/>
          <w:u w:val="single"/>
        </w:rPr>
        <w:t>T</w:t>
      </w:r>
      <w:r w:rsidRPr="655A25BA">
        <w:rPr>
          <w:rFonts w:cs="Arial"/>
          <w:i/>
          <w:iCs/>
          <w:color w:val="000000" w:themeColor="text1"/>
          <w:u w:val="single"/>
        </w:rPr>
        <w:t xml:space="preserve">he agencies would maintain grant and award funding to researchers, </w:t>
      </w:r>
      <w:proofErr w:type="gramStart"/>
      <w:r w:rsidRPr="655A25BA">
        <w:rPr>
          <w:rFonts w:cs="Arial"/>
          <w:i/>
          <w:iCs/>
          <w:color w:val="000000" w:themeColor="text1"/>
          <w:u w:val="single"/>
        </w:rPr>
        <w:t>students</w:t>
      </w:r>
      <w:proofErr w:type="gramEnd"/>
      <w:r w:rsidRPr="655A25BA">
        <w:rPr>
          <w:rFonts w:cs="Arial"/>
          <w:i/>
          <w:iCs/>
          <w:color w:val="000000" w:themeColor="text1"/>
          <w:u w:val="single"/>
        </w:rPr>
        <w:t xml:space="preserve"> and fellows for existing research projects</w:t>
      </w:r>
      <w:r w:rsidRPr="655A25BA">
        <w:rPr>
          <w:rFonts w:cs="Arial"/>
          <w:i/>
          <w:iCs/>
          <w:color w:val="000000" w:themeColor="text1"/>
        </w:rPr>
        <w:t>. Funds for grants, fellowships, and scholarships must continue to be used for the eligible expenses for which the funds were awarded. </w:t>
      </w:r>
      <w:r w:rsidRPr="655A25BA">
        <w:rPr>
          <w:rFonts w:cs="Arial"/>
          <w:i/>
          <w:iCs/>
          <w:color w:val="000000" w:themeColor="text1"/>
          <w:u w:val="single"/>
        </w:rPr>
        <w:t>During this time, in keeping with the Tri-Agency Guide on Financial Administration (</w:t>
      </w:r>
      <w:hyperlink r:id="rId11">
        <w:r w:rsidRPr="655A25BA">
          <w:rPr>
            <w:rStyle w:val="Hyperlink"/>
            <w:rFonts w:cs="Arial"/>
            <w:i/>
            <w:iCs/>
          </w:rPr>
          <w:t>TAGFA</w:t>
        </w:r>
      </w:hyperlink>
      <w:r w:rsidRPr="655A25BA">
        <w:rPr>
          <w:rFonts w:cs="Arial"/>
          <w:i/>
          <w:iCs/>
          <w:color w:val="000000" w:themeColor="text1"/>
          <w:u w:val="single"/>
        </w:rPr>
        <w:t>), the institution must ensure that the research project and/or the grantee's signing authority is not compromised</w:t>
      </w:r>
      <w:r w:rsidRPr="655A25BA">
        <w:rPr>
          <w:rFonts w:cs="Arial"/>
          <w:i/>
          <w:iCs/>
          <w:color w:val="000000" w:themeColor="text1"/>
        </w:rPr>
        <w:t>. As such, a grantee may delegate his/her signing authority to one or more person of his/her choice at the organization for the purpose of approving research expenditures directly related to the funded research.</w:t>
      </w:r>
    </w:p>
    <w:p w14:paraId="34201158" w14:textId="77777777" w:rsidR="0051605E" w:rsidRPr="007001AC" w:rsidRDefault="0051605E" w:rsidP="002F7B7F">
      <w:pPr>
        <w:pStyle w:val="ListParagraph"/>
        <w:spacing w:line="240" w:lineRule="exact"/>
        <w:ind w:left="606" w:hanging="249"/>
        <w:rPr>
          <w:rFonts w:cs="Arial"/>
        </w:rPr>
      </w:pPr>
    </w:p>
    <w:p w14:paraId="2BBF5446" w14:textId="77777777" w:rsidR="00C2187A" w:rsidRPr="007001AC" w:rsidRDefault="00C2187A" w:rsidP="009C5DDA">
      <w:pPr>
        <w:pStyle w:val="ListParagraph"/>
        <w:numPr>
          <w:ilvl w:val="0"/>
          <w:numId w:val="9"/>
        </w:numPr>
        <w:spacing w:after="200" w:line="240" w:lineRule="exact"/>
        <w:ind w:left="1383" w:hanging="249"/>
        <w:rPr>
          <w:rStyle w:val="contentpasted0"/>
          <w:rFonts w:cs="Arial"/>
        </w:rPr>
      </w:pPr>
      <w:r w:rsidRPr="007001AC">
        <w:rPr>
          <w:rStyle w:val="contentpasted0"/>
          <w:rFonts w:cs="Arial"/>
          <w:i/>
          <w:iCs/>
        </w:rPr>
        <w:t>As indicated in the “</w:t>
      </w:r>
      <w:hyperlink r:id="rId12" w:anchor="19" w:history="1">
        <w:r w:rsidRPr="007001AC">
          <w:rPr>
            <w:rStyle w:val="Hyperlink"/>
            <w:rFonts w:cs="Arial"/>
            <w:i/>
            <w:iCs/>
          </w:rPr>
          <w:t>Authorization of grant expenditures</w:t>
        </w:r>
      </w:hyperlink>
      <w:r w:rsidRPr="007001AC">
        <w:rPr>
          <w:rStyle w:val="contentpasted0"/>
          <w:rFonts w:cs="Arial"/>
          <w:i/>
          <w:iCs/>
        </w:rPr>
        <w:t>” section of the TAGFA: “</w:t>
      </w:r>
      <w:r w:rsidRPr="007001AC">
        <w:rPr>
          <w:rStyle w:val="contentpasted0"/>
          <w:rFonts w:cs="Arial"/>
          <w:i/>
          <w:iCs/>
          <w:spacing w:val="-3"/>
        </w:rPr>
        <w:t>The grant recipient holds the authority to use the grant funds.  Only the grant recipient can delegate authority to use the grant funds. The delegate should possess the skills and knowledge necessary to exercise the role effectively. Approval of the delegated authority must be formally documented using an appropriate delegation instrument and in accordance with the administering institution’s relevant policies and requirements.</w:t>
      </w:r>
      <w:r w:rsidRPr="007001AC">
        <w:rPr>
          <w:rStyle w:val="contentpasted0"/>
          <w:rFonts w:cs="Arial"/>
          <w:i/>
          <w:iCs/>
        </w:rPr>
        <w:t xml:space="preserve">”  </w:t>
      </w:r>
      <w:r w:rsidRPr="007001AC">
        <w:rPr>
          <w:rStyle w:val="contentpasted0"/>
          <w:rFonts w:cs="Arial"/>
          <w:i/>
          <w:iCs/>
          <w:u w:val="single"/>
        </w:rPr>
        <w:t>Therefore, unless pre-authorized, only the grantee or authorized delegate should have access to the funds</w:t>
      </w:r>
      <w:r w:rsidRPr="007001AC">
        <w:rPr>
          <w:rStyle w:val="contentpasted0"/>
          <w:rFonts w:cs="Arial"/>
          <w:i/>
          <w:iCs/>
        </w:rPr>
        <w:t>. </w:t>
      </w:r>
    </w:p>
    <w:p w14:paraId="6610D353" w14:textId="77777777" w:rsidR="00C2187A" w:rsidRPr="007001AC" w:rsidRDefault="00C2187A" w:rsidP="00174E82">
      <w:pPr>
        <w:pStyle w:val="xxxmsolistparagraph"/>
        <w:shd w:val="clear" w:color="auto" w:fill="FFFFFF"/>
        <w:spacing w:line="240" w:lineRule="exact"/>
        <w:ind w:left="720"/>
        <w:rPr>
          <w:rFonts w:ascii="Verdana" w:eastAsia="Times New Roman" w:hAnsi="Verdana" w:cs="Arial"/>
          <w:color w:val="000000"/>
          <w:sz w:val="20"/>
          <w:szCs w:val="20"/>
        </w:rPr>
      </w:pPr>
    </w:p>
    <w:p w14:paraId="296685BE" w14:textId="3A69D95B" w:rsidR="00B9115B" w:rsidRDefault="00C2187A" w:rsidP="000F4F80">
      <w:pPr>
        <w:pStyle w:val="ListParagraph"/>
        <w:numPr>
          <w:ilvl w:val="0"/>
          <w:numId w:val="17"/>
        </w:numPr>
        <w:spacing w:after="200" w:line="240" w:lineRule="exact"/>
        <w:ind w:left="714" w:hanging="357"/>
        <w:rPr>
          <w:rFonts w:cs="Arial"/>
          <w:b/>
          <w:bCs/>
          <w:lang w:val="en-CA"/>
        </w:rPr>
      </w:pPr>
      <w:r w:rsidRPr="15B8737B">
        <w:rPr>
          <w:rFonts w:cs="Arial"/>
          <w:b/>
          <w:bCs/>
          <w:lang w:val="en-CA"/>
        </w:rPr>
        <w:t>In the event of a strike, does the Faculty Association need to do anything to negotiate the delegation of signing authority to ensure full access to existing Tri-Council funds or grants during a strike or lockout?</w:t>
      </w:r>
    </w:p>
    <w:p w14:paraId="7E26B173" w14:textId="77777777" w:rsidR="008B0076" w:rsidRPr="000F4F80" w:rsidRDefault="008B0076" w:rsidP="008B0076">
      <w:pPr>
        <w:pStyle w:val="ListParagraph"/>
        <w:spacing w:after="200" w:line="240" w:lineRule="exact"/>
        <w:ind w:left="714"/>
        <w:rPr>
          <w:rFonts w:cs="Arial"/>
          <w:b/>
          <w:bCs/>
          <w:lang w:val="en-CA"/>
        </w:rPr>
      </w:pPr>
    </w:p>
    <w:p w14:paraId="3345CEA4" w14:textId="77777777" w:rsidR="00C2187A" w:rsidRDefault="00C2187A" w:rsidP="00174E82">
      <w:pPr>
        <w:pStyle w:val="ListParagraph"/>
        <w:spacing w:line="240" w:lineRule="exact"/>
        <w:rPr>
          <w:rStyle w:val="contentpasted0"/>
          <w:rFonts w:cs="Arial"/>
          <w:i/>
          <w:iCs/>
          <w:spacing w:val="-3"/>
          <w:lang w:val="en-CA"/>
        </w:rPr>
      </w:pPr>
      <w:r w:rsidRPr="007001AC">
        <w:rPr>
          <w:rFonts w:cs="Arial"/>
          <w:lang w:val="en-CA"/>
        </w:rPr>
        <w:t>No, not collectively. A strike protocol does not need to include this option. However, individual members who are grant holders may choose to delegate signing authority during a strike to a delegate who possesses</w:t>
      </w:r>
      <w:r w:rsidRPr="15B8737B">
        <w:rPr>
          <w:rStyle w:val="contentpasted0"/>
          <w:rFonts w:cs="Arial"/>
          <w:i/>
          <w:iCs/>
          <w:spacing w:val="-3"/>
          <w:lang w:val="en-CA"/>
        </w:rPr>
        <w:t xml:space="preserve"> “the skills and knowledge necessary to exercise the role effectively”.</w:t>
      </w:r>
    </w:p>
    <w:p w14:paraId="36DCC6B5" w14:textId="77777777" w:rsidR="00A552FF" w:rsidRDefault="00A552FF" w:rsidP="00174E82">
      <w:pPr>
        <w:pStyle w:val="ListParagraph"/>
        <w:spacing w:line="240" w:lineRule="exact"/>
        <w:rPr>
          <w:rStyle w:val="contentpasted0"/>
          <w:rFonts w:cs="Arial"/>
          <w:i/>
          <w:iCs/>
          <w:spacing w:val="-3"/>
          <w:lang w:val="en-CA"/>
        </w:rPr>
      </w:pPr>
    </w:p>
    <w:p w14:paraId="320AD091" w14:textId="77777777" w:rsidR="00A552FF" w:rsidRPr="007001AC" w:rsidRDefault="00A552FF" w:rsidP="00174E82">
      <w:pPr>
        <w:pStyle w:val="ListParagraph"/>
        <w:spacing w:line="240" w:lineRule="exact"/>
        <w:rPr>
          <w:rFonts w:cs="Arial"/>
          <w:lang w:val="en-CA"/>
        </w:rPr>
      </w:pPr>
    </w:p>
    <w:p w14:paraId="18153675" w14:textId="77777777" w:rsidR="00C2187A" w:rsidRPr="007001AC" w:rsidRDefault="00C2187A" w:rsidP="00174E82">
      <w:pPr>
        <w:pStyle w:val="ListParagraph"/>
        <w:spacing w:line="240" w:lineRule="exact"/>
        <w:rPr>
          <w:rFonts w:cs="Arial"/>
          <w:lang w:val="en-CA"/>
        </w:rPr>
      </w:pPr>
    </w:p>
    <w:p w14:paraId="75868D99" w14:textId="57824E73" w:rsidR="00A552FF" w:rsidRDefault="00C2187A" w:rsidP="008B0076">
      <w:pPr>
        <w:pStyle w:val="ListParagraph"/>
        <w:numPr>
          <w:ilvl w:val="0"/>
          <w:numId w:val="17"/>
        </w:numPr>
        <w:spacing w:after="200" w:line="240" w:lineRule="exact"/>
        <w:ind w:left="714" w:hanging="357"/>
        <w:rPr>
          <w:rFonts w:cs="Arial"/>
          <w:b/>
          <w:bCs/>
          <w:lang w:val="en-CA"/>
        </w:rPr>
      </w:pPr>
      <w:r w:rsidRPr="15B8737B">
        <w:rPr>
          <w:rFonts w:cs="Arial"/>
          <w:b/>
          <w:bCs/>
          <w:lang w:val="en-CA"/>
        </w:rPr>
        <w:lastRenderedPageBreak/>
        <w:t>Can applications for new Tri-Council grants be made and processed during a strike or lockout?</w:t>
      </w:r>
    </w:p>
    <w:p w14:paraId="632CF0D3" w14:textId="77777777" w:rsidR="008B0076" w:rsidRPr="000F4F80" w:rsidRDefault="008B0076" w:rsidP="008B0076">
      <w:pPr>
        <w:pStyle w:val="ListParagraph"/>
        <w:spacing w:after="200" w:line="240" w:lineRule="exact"/>
        <w:ind w:left="714"/>
        <w:rPr>
          <w:rFonts w:cs="Arial"/>
          <w:b/>
          <w:bCs/>
          <w:lang w:val="en-CA"/>
        </w:rPr>
      </w:pPr>
    </w:p>
    <w:p w14:paraId="4F8BEBCD" w14:textId="77777777" w:rsidR="00C2187A" w:rsidRPr="007001AC" w:rsidRDefault="00C2187A" w:rsidP="00174E82">
      <w:pPr>
        <w:pStyle w:val="ListParagraph"/>
        <w:spacing w:line="240" w:lineRule="exact"/>
        <w:rPr>
          <w:rFonts w:cs="Arial"/>
          <w:lang w:val="en-CA"/>
        </w:rPr>
      </w:pPr>
      <w:r w:rsidRPr="15B8737B">
        <w:rPr>
          <w:rFonts w:cs="Arial"/>
          <w:lang w:val="en-CA"/>
        </w:rPr>
        <w:t>Yes, they can. Furthermore, Tri-Council application deadlines cannot be extended to accommodate strikes and lockouts.</w:t>
      </w:r>
    </w:p>
    <w:p w14:paraId="45E1F19D" w14:textId="77777777" w:rsidR="00C2187A" w:rsidRPr="007001AC" w:rsidRDefault="00C2187A" w:rsidP="00174E82">
      <w:pPr>
        <w:pStyle w:val="ListParagraph"/>
        <w:spacing w:line="240" w:lineRule="exact"/>
        <w:rPr>
          <w:rFonts w:cs="Arial"/>
          <w:lang w:val="en-CA"/>
        </w:rPr>
      </w:pPr>
    </w:p>
    <w:p w14:paraId="07FEE6AF" w14:textId="77777777" w:rsidR="00C2187A" w:rsidRPr="007001AC" w:rsidRDefault="00C2187A" w:rsidP="008B0076">
      <w:pPr>
        <w:pStyle w:val="ListParagraph"/>
        <w:numPr>
          <w:ilvl w:val="0"/>
          <w:numId w:val="17"/>
        </w:numPr>
        <w:spacing w:after="200" w:line="240" w:lineRule="exact"/>
        <w:ind w:left="714" w:hanging="357"/>
        <w:rPr>
          <w:rFonts w:cs="Arial"/>
          <w:b/>
          <w:bCs/>
          <w:lang w:val="en-CA"/>
        </w:rPr>
      </w:pPr>
      <w:r w:rsidRPr="0B228589">
        <w:rPr>
          <w:rFonts w:cs="Arial"/>
          <w:b/>
          <w:bCs/>
          <w:lang w:val="en-CA"/>
        </w:rPr>
        <w:t>Can employers refuse to process new grant applications during a strike or lockout?</w:t>
      </w:r>
    </w:p>
    <w:p w14:paraId="58E48876" w14:textId="77777777" w:rsidR="00C2187A" w:rsidRPr="007001AC" w:rsidRDefault="00C2187A" w:rsidP="00174E82">
      <w:pPr>
        <w:spacing w:line="240" w:lineRule="exact"/>
        <w:ind w:left="720"/>
        <w:rPr>
          <w:rFonts w:cs="Noto Sans"/>
          <w:color w:val="333333"/>
          <w:lang w:val="en-CA" w:eastAsia="en-CA"/>
        </w:rPr>
      </w:pPr>
      <w:r w:rsidRPr="007001AC">
        <w:rPr>
          <w:rFonts w:cs="Arial"/>
          <w:lang w:val="en-CA"/>
        </w:rPr>
        <w:t>No.</w:t>
      </w:r>
      <w:r>
        <w:rPr>
          <w:rFonts w:cs="Arial"/>
          <w:lang w:val="en-CA"/>
        </w:rPr>
        <w:t xml:space="preserve"> </w:t>
      </w:r>
      <w:r w:rsidRPr="007001AC">
        <w:rPr>
          <w:rFonts w:cs="Arial"/>
          <w:lang w:val="en-CA"/>
        </w:rPr>
        <w:t xml:space="preserve">The </w:t>
      </w:r>
      <w:r w:rsidRPr="007001AC">
        <w:rPr>
          <w:color w:val="333333"/>
          <w:shd w:val="clear" w:color="auto" w:fill="FFFFFF"/>
          <w:lang w:val="en-CA"/>
        </w:rPr>
        <w:t xml:space="preserve">Tri-Council </w:t>
      </w:r>
      <w:hyperlink r:id="rId13" w:history="1">
        <w:r w:rsidRPr="007001AC">
          <w:rPr>
            <w:rStyle w:val="Emphasis"/>
            <w:color w:val="0535D2"/>
            <w:u w:val="single"/>
            <w:shd w:val="clear" w:color="auto" w:fill="FFFFFF"/>
            <w:lang w:val="en-CA"/>
          </w:rPr>
          <w:t>Agreement on the Administration of Agency Grants and Awards by Research Institutions</w:t>
        </w:r>
      </w:hyperlink>
      <w:r w:rsidRPr="007001AC">
        <w:rPr>
          <w:color w:val="333333"/>
          <w:shd w:val="clear" w:color="auto" w:fill="FFFFFF"/>
          <w:lang w:val="en-CA"/>
        </w:rPr>
        <w:t> requires institutions to “</w:t>
      </w:r>
      <w:r w:rsidRPr="007001AC">
        <w:rPr>
          <w:rFonts w:cs="Noto Sans"/>
          <w:color w:val="333333"/>
          <w:lang w:val="en-CA" w:eastAsia="en-CA"/>
        </w:rPr>
        <w:t xml:space="preserve">confirm the eligibility of each Grant or Award applicant </w:t>
      </w:r>
      <w:r w:rsidRPr="007001AC">
        <w:rPr>
          <w:rFonts w:cs="Noto Sans"/>
          <w:color w:val="333333"/>
          <w:u w:val="single"/>
          <w:lang w:val="en-CA" w:eastAsia="en-CA"/>
        </w:rPr>
        <w:t>at the time of application</w:t>
      </w:r>
      <w:r w:rsidRPr="007001AC">
        <w:rPr>
          <w:rFonts w:cs="Noto Sans"/>
          <w:color w:val="333333"/>
          <w:lang w:val="en-CA" w:eastAsia="en-CA"/>
        </w:rPr>
        <w:t xml:space="preserve">” and to </w:t>
      </w:r>
      <w:r w:rsidRPr="007001AC">
        <w:rPr>
          <w:color w:val="333333"/>
          <w:shd w:val="clear" w:color="auto" w:fill="FFFFFF"/>
          <w:lang w:val="en-CA"/>
        </w:rPr>
        <w:t>“</w:t>
      </w:r>
      <w:r w:rsidRPr="007001AC">
        <w:rPr>
          <w:rFonts w:cs="Noto Sans"/>
          <w:color w:val="333333"/>
          <w:lang w:val="en-CA" w:eastAsia="en-CA"/>
        </w:rPr>
        <w:t>provide adequate, equitable financial and administrative support to its Recipients to ensure sound management of funds”.</w:t>
      </w:r>
    </w:p>
    <w:p w14:paraId="5253FC3F" w14:textId="77777777" w:rsidR="00C2187A" w:rsidRPr="007001AC" w:rsidRDefault="00C2187A" w:rsidP="00174E82">
      <w:pPr>
        <w:spacing w:line="240" w:lineRule="exact"/>
        <w:ind w:left="720"/>
        <w:rPr>
          <w:rFonts w:cs="Arial"/>
          <w:lang w:val="en-CA"/>
        </w:rPr>
      </w:pPr>
    </w:p>
    <w:p w14:paraId="7B00CD82" w14:textId="77777777" w:rsidR="00C2187A" w:rsidRDefault="00C2187A" w:rsidP="00174E82">
      <w:pPr>
        <w:spacing w:line="240" w:lineRule="exact"/>
        <w:ind w:left="720"/>
        <w:rPr>
          <w:rFonts w:cs="Arial"/>
          <w:lang w:val="en-CA"/>
        </w:rPr>
      </w:pPr>
      <w:r w:rsidRPr="0B228589">
        <w:rPr>
          <w:rFonts w:cs="Arial"/>
          <w:lang w:val="en-CA"/>
        </w:rPr>
        <w:t>However, there is no guarantee the employer will do what is required on its end to process new grant applications, unless this is negotiated into the strike protocol. Associations should advise members to submit applications early when possible. Where feasible, associations may wish to consider grant submission dates when setting a strike deadline.</w:t>
      </w:r>
    </w:p>
    <w:p w14:paraId="1D713979" w14:textId="77777777" w:rsidR="00B9115B" w:rsidRPr="007001AC" w:rsidRDefault="00B9115B" w:rsidP="00174E82">
      <w:pPr>
        <w:spacing w:line="240" w:lineRule="exact"/>
        <w:ind w:left="720"/>
        <w:rPr>
          <w:rFonts w:cs="Arial"/>
          <w:lang w:val="en-CA"/>
        </w:rPr>
      </w:pPr>
    </w:p>
    <w:p w14:paraId="44CCD74A" w14:textId="739AC27B" w:rsidR="00B9115B" w:rsidRPr="008B0076" w:rsidRDefault="00C2187A" w:rsidP="008B0076">
      <w:pPr>
        <w:pStyle w:val="ListParagraph"/>
        <w:numPr>
          <w:ilvl w:val="0"/>
          <w:numId w:val="17"/>
        </w:numPr>
        <w:spacing w:after="200" w:line="240" w:lineRule="exact"/>
        <w:ind w:left="714" w:hanging="357"/>
        <w:contextualSpacing w:val="0"/>
        <w:rPr>
          <w:rFonts w:cs="Arial"/>
          <w:b/>
          <w:bCs/>
          <w:lang w:val="en-CA"/>
        </w:rPr>
      </w:pPr>
      <w:r w:rsidRPr="007001AC">
        <w:rPr>
          <w:rFonts w:cs="Arial"/>
          <w:b/>
          <w:bCs/>
          <w:lang w:val="en-CA"/>
        </w:rPr>
        <w:t>What about protection for internal research grants?</w:t>
      </w:r>
    </w:p>
    <w:p w14:paraId="62F5966F" w14:textId="1BB689B0" w:rsidR="00C2187A" w:rsidRPr="007001AC" w:rsidRDefault="00C2187A" w:rsidP="00174E82">
      <w:pPr>
        <w:pStyle w:val="ListParagraph"/>
        <w:spacing w:line="240" w:lineRule="exact"/>
        <w:rPr>
          <w:rFonts w:cs="Arial"/>
          <w:lang w:val="en-CA"/>
        </w:rPr>
      </w:pPr>
      <w:r w:rsidRPr="007001AC">
        <w:rPr>
          <w:rFonts w:cs="Arial"/>
          <w:lang w:val="en-CA"/>
        </w:rPr>
        <w:t>If internal grants are at the employer’s discretion, the association should advise members to apply early, submit expenses early and retain records of their submissions. Expense refusals by the employer can be addressed after the fact in a Back to Work Protocol and/or by a grievance.</w:t>
      </w:r>
    </w:p>
    <w:p w14:paraId="5A64DC73" w14:textId="47FCD3D0" w:rsidR="00EC4499" w:rsidRPr="008D5C0B" w:rsidRDefault="00EC4499" w:rsidP="00174E82">
      <w:pPr>
        <w:spacing w:line="240" w:lineRule="exact"/>
      </w:pPr>
    </w:p>
    <w:sectPr w:rsidR="00EC4499" w:rsidRPr="008D5C0B" w:rsidSect="006E4602">
      <w:headerReference w:type="default" r:id="rId14"/>
      <w:footerReference w:type="even" r:id="rId15"/>
      <w:footerReference w:type="default" r:id="rId16"/>
      <w:headerReference w:type="first" r:id="rId17"/>
      <w:footerReference w:type="first" r:id="rId18"/>
      <w:pgSz w:w="12240" w:h="15840"/>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E683" w14:textId="77777777" w:rsidR="004A20C4" w:rsidRDefault="004A20C4">
      <w:r>
        <w:separator/>
      </w:r>
    </w:p>
  </w:endnote>
  <w:endnote w:type="continuationSeparator" w:id="0">
    <w:p w14:paraId="54CC8426" w14:textId="77777777" w:rsidR="004A20C4" w:rsidRDefault="004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387889"/>
      <w:docPartObj>
        <w:docPartGallery w:val="Page Numbers (Bottom of Page)"/>
        <w:docPartUnique/>
      </w:docPartObj>
    </w:sdtPr>
    <w:sdtContent>
      <w:p w14:paraId="6FAF3F29" w14:textId="570F6D56" w:rsidR="00375932" w:rsidRDefault="00375932" w:rsidP="00453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FD0FD" w14:textId="77777777" w:rsidR="00375932" w:rsidRDefault="00375932" w:rsidP="00375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Content>
      <w:p w14:paraId="04BFA435" w14:textId="7FAA5D9E" w:rsidR="00375932" w:rsidRPr="00F33C9E" w:rsidRDefault="00375932" w:rsidP="0045373B">
        <w:pPr>
          <w:pStyle w:val="Footer"/>
          <w:framePr w:wrap="none" w:vAnchor="text" w:hAnchor="margin" w:xAlign="right" w:y="1"/>
          <w:rPr>
            <w:rStyle w:val="PageNumber"/>
            <w:b/>
            <w:bCs/>
            <w:color w:val="FFFFFF" w:themeColor="background1"/>
            <w:sz w:val="22"/>
            <w:szCs w:val="22"/>
          </w:rPr>
        </w:pPr>
        <w:r w:rsidRPr="00F33C9E">
          <w:rPr>
            <w:rStyle w:val="PageNumber"/>
            <w:b/>
            <w:bCs/>
            <w:color w:val="FFFFFF" w:themeColor="background1"/>
            <w:sz w:val="22"/>
            <w:szCs w:val="22"/>
          </w:rPr>
          <w:fldChar w:fldCharType="begin"/>
        </w:r>
        <w:r w:rsidRPr="00F33C9E">
          <w:rPr>
            <w:rStyle w:val="PageNumber"/>
            <w:b/>
            <w:bCs/>
            <w:color w:val="FFFFFF" w:themeColor="background1"/>
            <w:sz w:val="22"/>
            <w:szCs w:val="22"/>
          </w:rPr>
          <w:instrText xml:space="preserve"> PAGE </w:instrText>
        </w:r>
        <w:r w:rsidRPr="00F33C9E">
          <w:rPr>
            <w:rStyle w:val="PageNumber"/>
            <w:b/>
            <w:bCs/>
            <w:color w:val="FFFFFF" w:themeColor="background1"/>
            <w:sz w:val="22"/>
            <w:szCs w:val="22"/>
          </w:rPr>
          <w:fldChar w:fldCharType="separate"/>
        </w:r>
        <w:r w:rsidR="00F33C9E" w:rsidRPr="00F33C9E">
          <w:rPr>
            <w:rStyle w:val="PageNumber"/>
            <w:b/>
            <w:bCs/>
            <w:noProof/>
            <w:color w:val="FFFFFF" w:themeColor="background1"/>
            <w:sz w:val="22"/>
            <w:szCs w:val="22"/>
          </w:rPr>
          <w:t>2</w:t>
        </w:r>
        <w:r w:rsidRPr="00F33C9E">
          <w:rPr>
            <w:rStyle w:val="PageNumber"/>
            <w:b/>
            <w:bCs/>
            <w:color w:val="FFFFFF" w:themeColor="background1"/>
            <w:sz w:val="22"/>
            <w:szCs w:val="22"/>
          </w:rPr>
          <w:fldChar w:fldCharType="end"/>
        </w:r>
      </w:p>
    </w:sdtContent>
  </w:sdt>
  <w:p w14:paraId="04B3E7D4" w14:textId="009E3A4C" w:rsidR="008D5C0B" w:rsidRPr="00F33C9E" w:rsidRDefault="00F33C9E" w:rsidP="00F33C9E">
    <w:pPr>
      <w:pStyle w:val="Footer"/>
      <w:ind w:right="360"/>
      <w:rPr>
        <w:b/>
        <w:bCs/>
        <w:sz w:val="22"/>
        <w:szCs w:val="22"/>
      </w:rPr>
    </w:pPr>
    <w:r w:rsidRPr="00F33C9E">
      <w:rPr>
        <w:b/>
        <w:bCs/>
        <w:noProof/>
        <w:color w:val="FFFFFF" w:themeColor="background1"/>
      </w:rPr>
      <mc:AlternateContent>
        <mc:Choice Requires="wps">
          <w:drawing>
            <wp:anchor distT="0" distB="0" distL="114300" distR="114300" simplePos="0" relativeHeight="251659263" behindDoc="1" locked="0" layoutInCell="1" allowOverlap="1" wp14:anchorId="721B6DB9" wp14:editId="58080A19">
              <wp:simplePos x="0" y="0"/>
              <wp:positionH relativeFrom="column">
                <wp:posOffset>-738051</wp:posOffset>
              </wp:positionH>
              <wp:positionV relativeFrom="paragraph">
                <wp:posOffset>-16872</wp:posOffset>
              </wp:positionV>
              <wp:extent cx="7905205" cy="744492"/>
              <wp:effectExtent l="0" t="0" r="0" b="5080"/>
              <wp:wrapNone/>
              <wp:docPr id="485612278" name="Rectangle 2"/>
              <wp:cNvGraphicFramePr/>
              <a:graphic xmlns:a="http://schemas.openxmlformats.org/drawingml/2006/main">
                <a:graphicData uri="http://schemas.microsoft.com/office/word/2010/wordprocessingShape">
                  <wps:wsp>
                    <wps:cNvSpPr/>
                    <wps:spPr>
                      <a:xfrm>
                        <a:off x="0" y="0"/>
                        <a:ext cx="7905205" cy="744492"/>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A8B0" id="Rectangle 2" o:spid="_x0000_s1026" style="position:absolute;margin-left:-58.1pt;margin-top:-1.35pt;width:622.45pt;height:58.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" fillcolor="#80bb00" stroked="f"/>
          </w:pict>
        </mc:Fallback>
      </mc:AlternateContent>
    </w:r>
    <w:r w:rsidR="00B9115B" w:rsidRPr="00B9115B">
      <w:rPr>
        <w:b/>
        <w:bCs/>
        <w:color w:val="FFFFFF" w:themeColor="background1"/>
        <w:sz w:val="22"/>
        <w:szCs w:val="22"/>
      </w:rPr>
      <w:t>Q&amp;A on research grants in the event of a strike or lockout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1441645878"/>
      <w:docPartObj>
        <w:docPartGallery w:val="Page Numbers (Bottom of Page)"/>
        <w:docPartUnique/>
      </w:docPartObj>
    </w:sdtPr>
    <w:sdtContent>
      <w:p w14:paraId="36EF8F4C" w14:textId="349A0FBD" w:rsidR="00F33C9E" w:rsidRPr="006E4602" w:rsidRDefault="00F33C9E" w:rsidP="0045373B">
        <w:pPr>
          <w:pStyle w:val="Footer"/>
          <w:framePr w:wrap="none" w:vAnchor="text" w:hAnchor="margin" w:xAlign="right" w:y="1"/>
          <w:rPr>
            <w:rStyle w:val="PageNumber"/>
            <w:b/>
            <w:bCs/>
            <w:color w:val="FFFFFF" w:themeColor="background1"/>
            <w:sz w:val="22"/>
            <w:szCs w:val="22"/>
          </w:rPr>
        </w:pPr>
        <w:r w:rsidRPr="006E4602">
          <w:rPr>
            <w:rStyle w:val="PageNumber"/>
            <w:b/>
            <w:bCs/>
            <w:color w:val="FFFFFF" w:themeColor="background1"/>
            <w:sz w:val="22"/>
            <w:szCs w:val="22"/>
          </w:rPr>
          <w:fldChar w:fldCharType="begin"/>
        </w:r>
        <w:r w:rsidRPr="006E4602">
          <w:rPr>
            <w:rStyle w:val="PageNumber"/>
            <w:b/>
            <w:bCs/>
            <w:color w:val="FFFFFF" w:themeColor="background1"/>
            <w:sz w:val="22"/>
            <w:szCs w:val="22"/>
          </w:rPr>
          <w:instrText xml:space="preserve"> PAGE </w:instrText>
        </w:r>
        <w:r w:rsidRPr="006E4602">
          <w:rPr>
            <w:rStyle w:val="PageNumber"/>
            <w:b/>
            <w:bCs/>
            <w:color w:val="FFFFFF" w:themeColor="background1"/>
            <w:sz w:val="22"/>
            <w:szCs w:val="22"/>
          </w:rPr>
          <w:fldChar w:fldCharType="separate"/>
        </w:r>
        <w:r w:rsidRPr="006E4602">
          <w:rPr>
            <w:rStyle w:val="PageNumber"/>
            <w:b/>
            <w:bCs/>
            <w:noProof/>
            <w:color w:val="FFFFFF" w:themeColor="background1"/>
            <w:sz w:val="22"/>
            <w:szCs w:val="22"/>
          </w:rPr>
          <w:t>1</w:t>
        </w:r>
        <w:r w:rsidRPr="006E4602">
          <w:rPr>
            <w:rStyle w:val="PageNumber"/>
            <w:b/>
            <w:bCs/>
            <w:color w:val="FFFFFF" w:themeColor="background1"/>
            <w:sz w:val="22"/>
            <w:szCs w:val="22"/>
          </w:rPr>
          <w:fldChar w:fldCharType="end"/>
        </w:r>
      </w:p>
    </w:sdtContent>
  </w:sdt>
  <w:p w14:paraId="7082E760" w14:textId="1B4F2DF8" w:rsidR="008D5C0B" w:rsidRPr="006E4602" w:rsidRDefault="006E4602" w:rsidP="00F33C9E">
    <w:pPr>
      <w:pStyle w:val="Footer"/>
      <w:tabs>
        <w:tab w:val="clear" w:pos="4320"/>
        <w:tab w:val="clear" w:pos="8640"/>
      </w:tabs>
      <w:ind w:right="360"/>
      <w:rPr>
        <w:b/>
        <w:bCs/>
        <w:sz w:val="22"/>
        <w:szCs w:val="22"/>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2F1B2DD3">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9EF" id="Rectangle 2" o:spid="_x0000_s1026"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" fillcolor="#80bb00" stroked="f"/>
          </w:pict>
        </mc:Fallback>
      </mc:AlternateContent>
    </w:r>
    <w:r w:rsidR="00F33C9E" w:rsidRPr="006E4602">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AE3ED" id="Rectangle 2" o:spid="_x0000_s1026"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" fillcolor="#80bb00" stroked="f"/>
          </w:pict>
        </mc:Fallback>
      </mc:AlternateContent>
    </w:r>
    <w:r w:rsidR="00B9115B" w:rsidRPr="00B9115B">
      <w:rPr>
        <w:b/>
        <w:bCs/>
        <w:color w:val="FFFFFF" w:themeColor="background1"/>
        <w:sz w:val="22"/>
        <w:szCs w:val="22"/>
      </w:rPr>
      <w:t>Q&amp;A on research grants in the event of a strike or lockout</w:t>
    </w:r>
    <w:r w:rsidR="00F33C9E" w:rsidRPr="006E4602">
      <w:rPr>
        <w:b/>
        <w:bCs/>
        <w:color w:val="FFFFFF" w:themeColor="background1"/>
        <w:sz w:val="22"/>
        <w:szCs w:val="22"/>
      </w:rPr>
      <w:t xml:space="preserve"> </w:t>
    </w:r>
    <w:r w:rsidR="00F33C9E" w:rsidRPr="006E4602">
      <w:rPr>
        <w:b/>
        <w:bCs/>
        <w:sz w:val="22"/>
        <w:szCs w:val="22"/>
      </w:rPr>
      <w:tab/>
    </w:r>
    <w:r w:rsidR="00F33C9E" w:rsidRPr="006E4602">
      <w:rPr>
        <w:b/>
        <w:bCs/>
        <w:sz w:val="22"/>
        <w:szCs w:val="22"/>
      </w:rPr>
      <w:tab/>
      <w:t xml:space="preserve"> </w:t>
    </w:r>
    <w:r w:rsidR="00F33C9E" w:rsidRPr="006E4602">
      <w:rPr>
        <w:b/>
        <w:bC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4818" w14:textId="77777777" w:rsidR="004A20C4" w:rsidRDefault="004A20C4">
      <w:r>
        <w:separator/>
      </w:r>
    </w:p>
  </w:footnote>
  <w:footnote w:type="continuationSeparator" w:id="0">
    <w:p w14:paraId="0C501170" w14:textId="77777777" w:rsidR="004A20C4" w:rsidRDefault="004A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2CA" w14:textId="195F5687" w:rsidR="008D5C0B" w:rsidRPr="008C5BCE" w:rsidRDefault="00F33C9E" w:rsidP="008D5C0B">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BC81" id="Rectangle 2" o:spid="_x0000_s1026"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" fillcolor="#005a7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0" w14:textId="018FEC91" w:rsidR="008D5C0B" w:rsidRDefault="00BC3CBE" w:rsidP="006E4602">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F0785" id="Rectangle 4" o:spid="_x0000_s1026"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" fillcolor="#005a7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453"/>
    <w:multiLevelType w:val="hybridMultilevel"/>
    <w:tmpl w:val="0B7A9482"/>
    <w:lvl w:ilvl="0" w:tplc="D0E6840E">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F379B8"/>
    <w:multiLevelType w:val="hybridMultilevel"/>
    <w:tmpl w:val="C2ACBA3E"/>
    <w:lvl w:ilvl="0" w:tplc="AB240D80">
      <w:start w:val="1"/>
      <w:numFmt w:val="bullet"/>
      <w:lvlText w:val=""/>
      <w:lvlJc w:val="left"/>
      <w:pPr>
        <w:ind w:left="612" w:hanging="252"/>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86144"/>
    <w:multiLevelType w:val="hybridMultilevel"/>
    <w:tmpl w:val="6D8855C2"/>
    <w:lvl w:ilvl="0" w:tplc="BD1C58C8">
      <w:start w:val="1"/>
      <w:numFmt w:val="bullet"/>
      <w:pStyle w:val="Bullets"/>
      <w:lvlText w:val=""/>
      <w:lvlJc w:val="left"/>
      <w:pPr>
        <w:ind w:left="627" w:hanging="252"/>
      </w:pPr>
      <w:rPr>
        <w:rFonts w:ascii="Wingdings" w:hAnsi="Wingdings" w:hint="default"/>
        <w:color w:val="1C8700"/>
        <w:position w:val="-2"/>
        <w:sz w:val="28"/>
        <w:szCs w:val="28"/>
      </w:rPr>
    </w:lvl>
    <w:lvl w:ilvl="1" w:tplc="778A7668">
      <w:start w:val="1"/>
      <w:numFmt w:val="bullet"/>
      <w:pStyle w:val="Secondarybullet"/>
      <w:lvlText w:val=""/>
      <w:lvlJc w:val="left"/>
      <w:pPr>
        <w:ind w:left="1023" w:hanging="288"/>
      </w:pPr>
      <w:rPr>
        <w:rFonts w:ascii="Wingdings" w:hAnsi="Wingdings" w:hint="default"/>
        <w:color w:val="808080"/>
        <w:position w:val="-2"/>
        <w:sz w:val="28"/>
        <w:szCs w:val="28"/>
      </w:rPr>
    </w:lvl>
    <w:lvl w:ilvl="2" w:tplc="04090005">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3B8B74CC"/>
    <w:multiLevelType w:val="hybridMultilevel"/>
    <w:tmpl w:val="464E7A3E"/>
    <w:lvl w:ilvl="0" w:tplc="FFFFFFFF">
      <w:start w:val="1"/>
      <w:numFmt w:val="decimal"/>
      <w:lvlText w:val="%1."/>
      <w:lvlJc w:val="left"/>
      <w:pPr>
        <w:ind w:left="719" w:hanging="360"/>
      </w:pPr>
    </w:lvl>
    <w:lvl w:ilvl="1" w:tplc="10090019" w:tentative="1">
      <w:start w:val="1"/>
      <w:numFmt w:val="lowerLetter"/>
      <w:lvlText w:val="%2."/>
      <w:lvlJc w:val="left"/>
      <w:pPr>
        <w:ind w:left="1439" w:hanging="360"/>
      </w:pPr>
    </w:lvl>
    <w:lvl w:ilvl="2" w:tplc="1009001B" w:tentative="1">
      <w:start w:val="1"/>
      <w:numFmt w:val="lowerRoman"/>
      <w:lvlText w:val="%3."/>
      <w:lvlJc w:val="right"/>
      <w:pPr>
        <w:ind w:left="2159" w:hanging="180"/>
      </w:pPr>
    </w:lvl>
    <w:lvl w:ilvl="3" w:tplc="1009000F" w:tentative="1">
      <w:start w:val="1"/>
      <w:numFmt w:val="decimal"/>
      <w:lvlText w:val="%4."/>
      <w:lvlJc w:val="left"/>
      <w:pPr>
        <w:ind w:left="2879" w:hanging="360"/>
      </w:pPr>
    </w:lvl>
    <w:lvl w:ilvl="4" w:tplc="10090019" w:tentative="1">
      <w:start w:val="1"/>
      <w:numFmt w:val="lowerLetter"/>
      <w:lvlText w:val="%5."/>
      <w:lvlJc w:val="left"/>
      <w:pPr>
        <w:ind w:left="3599" w:hanging="360"/>
      </w:pPr>
    </w:lvl>
    <w:lvl w:ilvl="5" w:tplc="1009001B" w:tentative="1">
      <w:start w:val="1"/>
      <w:numFmt w:val="lowerRoman"/>
      <w:lvlText w:val="%6."/>
      <w:lvlJc w:val="right"/>
      <w:pPr>
        <w:ind w:left="4319" w:hanging="180"/>
      </w:pPr>
    </w:lvl>
    <w:lvl w:ilvl="6" w:tplc="1009000F" w:tentative="1">
      <w:start w:val="1"/>
      <w:numFmt w:val="decimal"/>
      <w:lvlText w:val="%7."/>
      <w:lvlJc w:val="left"/>
      <w:pPr>
        <w:ind w:left="5039" w:hanging="360"/>
      </w:pPr>
    </w:lvl>
    <w:lvl w:ilvl="7" w:tplc="10090019" w:tentative="1">
      <w:start w:val="1"/>
      <w:numFmt w:val="lowerLetter"/>
      <w:lvlText w:val="%8."/>
      <w:lvlJc w:val="left"/>
      <w:pPr>
        <w:ind w:left="5759" w:hanging="360"/>
      </w:pPr>
    </w:lvl>
    <w:lvl w:ilvl="8" w:tplc="1009001B" w:tentative="1">
      <w:start w:val="1"/>
      <w:numFmt w:val="lowerRoman"/>
      <w:lvlText w:val="%9."/>
      <w:lvlJc w:val="right"/>
      <w:pPr>
        <w:ind w:left="6479" w:hanging="180"/>
      </w:pPr>
    </w:lvl>
  </w:abstractNum>
  <w:abstractNum w:abstractNumId="6" w15:restartNumberingAfterBreak="0">
    <w:nsid w:val="408E40DD"/>
    <w:multiLevelType w:val="hybridMultilevel"/>
    <w:tmpl w:val="24760B76"/>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43E84"/>
    <w:multiLevelType w:val="hybridMultilevel"/>
    <w:tmpl w:val="135E6D8C"/>
    <w:lvl w:ilvl="0" w:tplc="D0E6840E">
      <w:start w:val="1"/>
      <w:numFmt w:val="bullet"/>
      <w:lvlText w:val=""/>
      <w:lvlJc w:val="left"/>
      <w:pPr>
        <w:ind w:left="540" w:hanging="18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D5FA1"/>
    <w:multiLevelType w:val="multilevel"/>
    <w:tmpl w:val="FD506C0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DDE0E68"/>
    <w:multiLevelType w:val="hybridMultilevel"/>
    <w:tmpl w:val="67A48048"/>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72386"/>
    <w:multiLevelType w:val="multilevel"/>
    <w:tmpl w:val="2E72380C"/>
    <w:lvl w:ilvl="0">
      <w:start w:val="1"/>
      <w:numFmt w:val="bullet"/>
      <w:lvlText w:val=""/>
      <w:lvlJc w:val="left"/>
      <w:pPr>
        <w:ind w:left="612" w:hanging="252"/>
      </w:pPr>
      <w:rPr>
        <w:rFonts w:ascii="Wingdings" w:hAnsi="Wingdings" w:hint="default"/>
        <w:color w:val="50BE1C"/>
        <w:position w:val="-2"/>
        <w:sz w:val="28"/>
        <w:szCs w:val="28"/>
      </w:rPr>
    </w:lvl>
    <w:lvl w:ilvl="1">
      <w:start w:val="1"/>
      <w:numFmt w:val="bullet"/>
      <w:lvlText w:val=""/>
      <w:lvlJc w:val="left"/>
      <w:pPr>
        <w:ind w:left="1008" w:hanging="288"/>
      </w:pPr>
      <w:rPr>
        <w:rFonts w:ascii="Wingdings" w:hAnsi="Wingdings" w:hint="default"/>
        <w:color w:val="808080"/>
        <w:position w:val="-2"/>
        <w:sz w:val="28"/>
        <w:szCs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82703A"/>
    <w:multiLevelType w:val="hybridMultilevel"/>
    <w:tmpl w:val="6034251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B6582"/>
    <w:multiLevelType w:val="multilevel"/>
    <w:tmpl w:val="4CA833F2"/>
    <w:lvl w:ilvl="0">
      <w:start w:val="1"/>
      <w:numFmt w:val="bullet"/>
      <w:lvlText w:val=""/>
      <w:lvlJc w:val="left"/>
      <w:pPr>
        <w:ind w:left="720" w:hanging="360"/>
      </w:pPr>
      <w:rPr>
        <w:rFonts w:ascii="Wingdings" w:hAnsi="Wingdings" w:hint="default"/>
        <w:position w:val="-8"/>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7A73AD"/>
    <w:multiLevelType w:val="hybridMultilevel"/>
    <w:tmpl w:val="23363D3A"/>
    <w:lvl w:ilvl="0" w:tplc="A6DAAB9E">
      <w:start w:val="1"/>
      <w:numFmt w:val="bullet"/>
      <w:lvlText w:val=""/>
      <w:lvlJc w:val="left"/>
      <w:pPr>
        <w:ind w:left="721" w:hanging="360"/>
      </w:pPr>
      <w:rPr>
        <w:rFonts w:ascii="Wingdings" w:hAnsi="Wingdings" w:hint="default"/>
        <w:color w:val="50BE1C"/>
        <w:position w:val="-2"/>
        <w:sz w:val="28"/>
        <w:szCs w:val="28"/>
      </w:rPr>
    </w:lvl>
    <w:lvl w:ilvl="1" w:tplc="10090003">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num w:numId="1" w16cid:durableId="1391733758">
    <w:abstractNumId w:val="9"/>
  </w:num>
  <w:num w:numId="2" w16cid:durableId="1749183198">
    <w:abstractNumId w:val="12"/>
  </w:num>
  <w:num w:numId="3" w16cid:durableId="224611937">
    <w:abstractNumId w:val="11"/>
  </w:num>
  <w:num w:numId="4" w16cid:durableId="2066906864">
    <w:abstractNumId w:val="7"/>
  </w:num>
  <w:num w:numId="5" w16cid:durableId="433210964">
    <w:abstractNumId w:val="6"/>
  </w:num>
  <w:num w:numId="6" w16cid:durableId="1633317598">
    <w:abstractNumId w:val="0"/>
  </w:num>
  <w:num w:numId="7" w16cid:durableId="73286421">
    <w:abstractNumId w:val="1"/>
  </w:num>
  <w:num w:numId="8" w16cid:durableId="358093668">
    <w:abstractNumId w:val="3"/>
  </w:num>
  <w:num w:numId="9" w16cid:durableId="420686114">
    <w:abstractNumId w:val="4"/>
  </w:num>
  <w:num w:numId="10" w16cid:durableId="40983974">
    <w:abstractNumId w:val="13"/>
  </w:num>
  <w:num w:numId="11" w16cid:durableId="307057234">
    <w:abstractNumId w:val="4"/>
    <w:lvlOverride w:ilvl="0">
      <w:startOverride w:val="1"/>
    </w:lvlOverride>
  </w:num>
  <w:num w:numId="12" w16cid:durableId="495463903">
    <w:abstractNumId w:val="4"/>
    <w:lvlOverride w:ilvl="0">
      <w:startOverride w:val="1"/>
    </w:lvlOverride>
  </w:num>
  <w:num w:numId="13" w16cid:durableId="1404570876">
    <w:abstractNumId w:val="4"/>
    <w:lvlOverride w:ilvl="0">
      <w:startOverride w:val="1"/>
    </w:lvlOverride>
  </w:num>
  <w:num w:numId="14" w16cid:durableId="834108875">
    <w:abstractNumId w:val="4"/>
    <w:lvlOverride w:ilvl="0">
      <w:startOverride w:val="1"/>
    </w:lvlOverride>
  </w:num>
  <w:num w:numId="15" w16cid:durableId="308246440">
    <w:abstractNumId w:val="10"/>
  </w:num>
  <w:num w:numId="16" w16cid:durableId="132452982">
    <w:abstractNumId w:val="2"/>
  </w:num>
  <w:num w:numId="17" w16cid:durableId="1710495430">
    <w:abstractNumId w:val="5"/>
  </w:num>
  <w:num w:numId="18" w16cid:durableId="1367102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227C4"/>
    <w:rsid w:val="00036902"/>
    <w:rsid w:val="0004083B"/>
    <w:rsid w:val="000562C9"/>
    <w:rsid w:val="000816E4"/>
    <w:rsid w:val="000E1EDC"/>
    <w:rsid w:val="000E2B93"/>
    <w:rsid w:val="000F4F80"/>
    <w:rsid w:val="00127850"/>
    <w:rsid w:val="0013215E"/>
    <w:rsid w:val="00174E82"/>
    <w:rsid w:val="00186580"/>
    <w:rsid w:val="00192A48"/>
    <w:rsid w:val="002219C6"/>
    <w:rsid w:val="00230C1B"/>
    <w:rsid w:val="00273871"/>
    <w:rsid w:val="002F7B7F"/>
    <w:rsid w:val="00334D94"/>
    <w:rsid w:val="003570A2"/>
    <w:rsid w:val="00375932"/>
    <w:rsid w:val="003A5F7C"/>
    <w:rsid w:val="003D55CF"/>
    <w:rsid w:val="003F3282"/>
    <w:rsid w:val="00400B7D"/>
    <w:rsid w:val="00414AC2"/>
    <w:rsid w:val="0044282B"/>
    <w:rsid w:val="00467622"/>
    <w:rsid w:val="004A20C4"/>
    <w:rsid w:val="0050388C"/>
    <w:rsid w:val="0051605E"/>
    <w:rsid w:val="00534D38"/>
    <w:rsid w:val="00554D42"/>
    <w:rsid w:val="00570CB6"/>
    <w:rsid w:val="0059671C"/>
    <w:rsid w:val="005A1648"/>
    <w:rsid w:val="00654E54"/>
    <w:rsid w:val="006A1115"/>
    <w:rsid w:val="006B1B94"/>
    <w:rsid w:val="006B49EA"/>
    <w:rsid w:val="006D448E"/>
    <w:rsid w:val="006E4602"/>
    <w:rsid w:val="006F662E"/>
    <w:rsid w:val="00723C82"/>
    <w:rsid w:val="00763C4F"/>
    <w:rsid w:val="00797EB6"/>
    <w:rsid w:val="0085269B"/>
    <w:rsid w:val="00852A2E"/>
    <w:rsid w:val="00873CDF"/>
    <w:rsid w:val="008B0076"/>
    <w:rsid w:val="008C5BCE"/>
    <w:rsid w:val="008D42FA"/>
    <w:rsid w:val="008D5C0B"/>
    <w:rsid w:val="008E1373"/>
    <w:rsid w:val="008E16E0"/>
    <w:rsid w:val="008F0801"/>
    <w:rsid w:val="008F569A"/>
    <w:rsid w:val="0092411E"/>
    <w:rsid w:val="009506E2"/>
    <w:rsid w:val="00950C85"/>
    <w:rsid w:val="009570D6"/>
    <w:rsid w:val="009710ED"/>
    <w:rsid w:val="00975371"/>
    <w:rsid w:val="009B0C62"/>
    <w:rsid w:val="009C5DDA"/>
    <w:rsid w:val="009C74C8"/>
    <w:rsid w:val="009D4C3F"/>
    <w:rsid w:val="00A027C5"/>
    <w:rsid w:val="00A06CC5"/>
    <w:rsid w:val="00A1017A"/>
    <w:rsid w:val="00A12AEE"/>
    <w:rsid w:val="00A15FED"/>
    <w:rsid w:val="00A23EAB"/>
    <w:rsid w:val="00A552FF"/>
    <w:rsid w:val="00A57175"/>
    <w:rsid w:val="00A608AC"/>
    <w:rsid w:val="00A627AB"/>
    <w:rsid w:val="00A736CE"/>
    <w:rsid w:val="00A83403"/>
    <w:rsid w:val="00A92A98"/>
    <w:rsid w:val="00AC72A7"/>
    <w:rsid w:val="00B65F27"/>
    <w:rsid w:val="00B834F0"/>
    <w:rsid w:val="00B9115B"/>
    <w:rsid w:val="00B92610"/>
    <w:rsid w:val="00BC3CBE"/>
    <w:rsid w:val="00BF4E44"/>
    <w:rsid w:val="00C2187A"/>
    <w:rsid w:val="00C30306"/>
    <w:rsid w:val="00C311E1"/>
    <w:rsid w:val="00C65200"/>
    <w:rsid w:val="00C903D6"/>
    <w:rsid w:val="00CD0463"/>
    <w:rsid w:val="00CD1705"/>
    <w:rsid w:val="00CE242C"/>
    <w:rsid w:val="00D32893"/>
    <w:rsid w:val="00D52BC6"/>
    <w:rsid w:val="00D61A04"/>
    <w:rsid w:val="00D7258E"/>
    <w:rsid w:val="00DA6486"/>
    <w:rsid w:val="00DB3DE8"/>
    <w:rsid w:val="00E01A0E"/>
    <w:rsid w:val="00E04257"/>
    <w:rsid w:val="00E278B2"/>
    <w:rsid w:val="00E455B6"/>
    <w:rsid w:val="00E85BAC"/>
    <w:rsid w:val="00E9210B"/>
    <w:rsid w:val="00EA74ED"/>
    <w:rsid w:val="00EC4499"/>
    <w:rsid w:val="00F24ADF"/>
    <w:rsid w:val="00F33C9E"/>
    <w:rsid w:val="00F43AAD"/>
    <w:rsid w:val="00F55D4A"/>
    <w:rsid w:val="00FA33FE"/>
    <w:rsid w:val="00FA4CEE"/>
    <w:rsid w:val="00FC412D"/>
    <w:rsid w:val="00FD7B79"/>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qFormat/>
    <w:rsid w:val="006A1115"/>
    <w:pPr>
      <w:ind w:left="720"/>
      <w:contextualSpacing/>
    </w:pPr>
  </w:style>
  <w:style w:type="paragraph" w:customStyle="1" w:styleId="BodyText">
    <w:name w:val="BodyText"/>
    <w:basedOn w:val="Normal"/>
    <w:link w:val="BodyTextChar"/>
    <w:qFormat/>
    <w:rsid w:val="00A15FED"/>
    <w:pPr>
      <w:spacing w:line="240" w:lineRule="exact"/>
    </w:pPr>
  </w:style>
  <w:style w:type="paragraph" w:customStyle="1" w:styleId="SubHead">
    <w:name w:val="SubHead"/>
    <w:basedOn w:val="Normal"/>
    <w:link w:val="SubHeadChar"/>
    <w:qFormat/>
    <w:rsid w:val="000E2B93"/>
    <w:pPr>
      <w:spacing w:line="240" w:lineRule="exact"/>
    </w:pPr>
    <w:rPr>
      <w:b/>
      <w:color w:val="1C8700"/>
      <w:sz w:val="24"/>
      <w:szCs w:val="24"/>
    </w:rPr>
  </w:style>
  <w:style w:type="character" w:customStyle="1" w:styleId="BodyTextChar">
    <w:name w:val="BodyText Char"/>
    <w:basedOn w:val="DefaultParagraphFont"/>
    <w:link w:val="BodyText"/>
    <w:rsid w:val="00A15FED"/>
    <w:rPr>
      <w:rFonts w:ascii="Verdana" w:hAnsi="Verdana"/>
      <w:color w:val="000000"/>
      <w:lang w:val="en-GB"/>
    </w:rPr>
  </w:style>
  <w:style w:type="paragraph" w:customStyle="1" w:styleId="Bullets">
    <w:name w:val="Bullets"/>
    <w:basedOn w:val="ListParagraph"/>
    <w:link w:val="BulletsChar"/>
    <w:qFormat/>
    <w:rsid w:val="000E2B93"/>
    <w:pPr>
      <w:numPr>
        <w:numId w:val="9"/>
      </w:numPr>
      <w:spacing w:line="240" w:lineRule="exact"/>
    </w:pPr>
  </w:style>
  <w:style w:type="character" w:customStyle="1" w:styleId="SubHeadChar">
    <w:name w:val="SubHead Char"/>
    <w:basedOn w:val="DefaultParagraphFont"/>
    <w:link w:val="SubHead"/>
    <w:rsid w:val="000E2B93"/>
    <w:rPr>
      <w:rFonts w:ascii="Verdana" w:hAnsi="Verdana"/>
      <w:b/>
      <w:color w:val="1C8700"/>
      <w:sz w:val="24"/>
      <w:szCs w:val="24"/>
      <w:lang w:val="en-GB"/>
    </w:rPr>
  </w:style>
  <w:style w:type="character" w:customStyle="1" w:styleId="ListParagraphChar">
    <w:name w:val="List Paragraph Char"/>
    <w:basedOn w:val="DefaultParagraphFont"/>
    <w:link w:val="ListParagraph"/>
    <w:uiPriority w:val="34"/>
    <w:rsid w:val="00A15FED"/>
    <w:rPr>
      <w:rFonts w:ascii="Verdana" w:hAnsi="Verdana"/>
      <w:color w:val="000000"/>
      <w:lang w:val="en-GB"/>
    </w:rPr>
  </w:style>
  <w:style w:type="character" w:customStyle="1" w:styleId="BulletsChar">
    <w:name w:val="Bullets Char"/>
    <w:basedOn w:val="ListParagraphChar"/>
    <w:link w:val="Bullets"/>
    <w:rsid w:val="00A15FED"/>
    <w:rPr>
      <w:rFonts w:ascii="Verdana" w:hAnsi="Verdana"/>
      <w:color w:val="000000"/>
      <w:lang w:val="en-GB"/>
    </w:rPr>
  </w:style>
  <w:style w:type="paragraph" w:customStyle="1" w:styleId="Secondarybullet">
    <w:name w:val="Secondary bullet"/>
    <w:basedOn w:val="ListParagraph"/>
    <w:link w:val="SecondarybulletChar"/>
    <w:qFormat/>
    <w:rsid w:val="00797EB6"/>
    <w:pPr>
      <w:numPr>
        <w:ilvl w:val="1"/>
        <w:numId w:val="9"/>
      </w:numPr>
      <w:spacing w:line="240" w:lineRule="exact"/>
    </w:pPr>
  </w:style>
  <w:style w:type="character" w:customStyle="1" w:styleId="SecondarybulletChar">
    <w:name w:val="Secondary bullet Char"/>
    <w:basedOn w:val="ListParagraphChar"/>
    <w:link w:val="Secondarybullet"/>
    <w:rsid w:val="00797EB6"/>
    <w:rPr>
      <w:rFonts w:ascii="Verdana" w:hAnsi="Verdana"/>
      <w:color w:val="000000"/>
      <w:lang w:val="en-GB"/>
    </w:rPr>
  </w:style>
  <w:style w:type="character" w:customStyle="1" w:styleId="normaltextrun">
    <w:name w:val="normaltextrun"/>
    <w:basedOn w:val="DefaultParagraphFont"/>
    <w:rsid w:val="00375932"/>
  </w:style>
  <w:style w:type="character" w:styleId="PageNumber">
    <w:name w:val="page number"/>
    <w:basedOn w:val="DefaultParagraphFont"/>
    <w:uiPriority w:val="99"/>
    <w:semiHidden/>
    <w:unhideWhenUsed/>
    <w:rsid w:val="00375932"/>
  </w:style>
  <w:style w:type="character" w:customStyle="1" w:styleId="eop">
    <w:name w:val="eop"/>
    <w:basedOn w:val="DefaultParagraphFont"/>
    <w:rsid w:val="00C311E1"/>
  </w:style>
  <w:style w:type="character" w:styleId="Hyperlink">
    <w:name w:val="Hyperlink"/>
    <w:basedOn w:val="DefaultParagraphFont"/>
    <w:uiPriority w:val="99"/>
    <w:semiHidden/>
    <w:unhideWhenUsed/>
    <w:rsid w:val="00C2187A"/>
    <w:rPr>
      <w:color w:val="0000FF"/>
      <w:u w:val="single"/>
    </w:rPr>
  </w:style>
  <w:style w:type="paragraph" w:customStyle="1" w:styleId="xxxmsolistparagraph">
    <w:name w:val="x_xxmsolistparagraph"/>
    <w:basedOn w:val="Normal"/>
    <w:rsid w:val="00C2187A"/>
    <w:rPr>
      <w:rFonts w:ascii="Calibri" w:eastAsiaTheme="minorHAnsi" w:hAnsi="Calibri" w:cs="Calibri"/>
      <w:color w:val="auto"/>
      <w:sz w:val="22"/>
      <w:szCs w:val="22"/>
      <w:lang w:val="en-CA" w:eastAsia="en-CA"/>
    </w:rPr>
  </w:style>
  <w:style w:type="character" w:customStyle="1" w:styleId="contentpasted1">
    <w:name w:val="contentpasted1"/>
    <w:basedOn w:val="DefaultParagraphFont"/>
    <w:rsid w:val="00C2187A"/>
  </w:style>
  <w:style w:type="character" w:customStyle="1" w:styleId="contentpasted0">
    <w:name w:val="contentpasted0"/>
    <w:basedOn w:val="DefaultParagraphFont"/>
    <w:rsid w:val="00C2187A"/>
  </w:style>
  <w:style w:type="character" w:styleId="Emphasis">
    <w:name w:val="Emphasis"/>
    <w:basedOn w:val="DefaultParagraphFont"/>
    <w:uiPriority w:val="20"/>
    <w:qFormat/>
    <w:rsid w:val="00C21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gc.ca/eic/site/063.nsf/eng/h_56B87BE5.html?OpenDocumen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erc-crsng.gc.ca/interagency-interorganismes/TAFA-AFTO/guide-guide_eng.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erc-crsng.gc.ca/interagency-interorganismes/TAFA-AFTO/guide-guide_eng.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32719-6ab4-4320-8f3f-c452778fee34">
      <Terms xmlns="http://schemas.microsoft.com/office/infopath/2007/PartnerControls"/>
    </lcf76f155ced4ddcb4097134ff3c332f>
    <TaxCatchAll xmlns="ab226b7d-2fc3-4df7-a462-710f1dcbdb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1D2E61376CD4B8948A08AF9A8A878" ma:contentTypeVersion="14" ma:contentTypeDescription="Create a new document." ma:contentTypeScope="" ma:versionID="a39663046022fd8ae4af94e9da171ba7">
  <xsd:schema xmlns:xsd="http://www.w3.org/2001/XMLSchema" xmlns:xs="http://www.w3.org/2001/XMLSchema" xmlns:p="http://schemas.microsoft.com/office/2006/metadata/properties" xmlns:ns2="5c732719-6ab4-4320-8f3f-c452778fee34" xmlns:ns3="ab226b7d-2fc3-4df7-a462-710f1dcbdb42" targetNamespace="http://schemas.microsoft.com/office/2006/metadata/properties" ma:root="true" ma:fieldsID="c0e6e34c4d4ac0becb1a3c23df1edc74" ns2:_="" ns3:_="">
    <xsd:import namespace="5c732719-6ab4-4320-8f3f-c452778fee34"/>
    <xsd:import namespace="ab226b7d-2fc3-4df7-a462-710f1dcbd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32719-6ab4-4320-8f3f-c452778f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26b7d-2fc3-4df7-a462-710f1dcbd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caa6696-a330-417a-9ee6-ceb138742141}" ma:internalName="TaxCatchAll" ma:showField="CatchAllData" ma:web="ab226b7d-2fc3-4df7-a462-710f1dcbd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E9129-4A2F-42D4-80DC-811E223A1EC9}">
  <ds:schemaRefs>
    <ds:schemaRef ds:uri="http://schemas.microsoft.com/sharepoint/v3/contenttype/forms"/>
  </ds:schemaRefs>
</ds:datastoreItem>
</file>

<file path=customXml/itemProps2.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customXml/itemProps3.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5c732719-6ab4-4320-8f3f-c452778fee34"/>
    <ds:schemaRef ds:uri="ab226b7d-2fc3-4df7-a462-710f1dcbdb42"/>
  </ds:schemaRefs>
</ds:datastoreItem>
</file>

<file path=customXml/itemProps4.xml><?xml version="1.0" encoding="utf-8"?>
<ds:datastoreItem xmlns:ds="http://schemas.openxmlformats.org/officeDocument/2006/customXml" ds:itemID="{C7900754-5619-419B-88C1-160AF070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32719-6ab4-4320-8f3f-c452778fee34"/>
    <ds:schemaRef ds:uri="ab226b7d-2fc3-4df7-a462-710f1dcbd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24</cp:revision>
  <cp:lastPrinted>2022-05-09T17:18:00Z</cp:lastPrinted>
  <dcterms:created xsi:type="dcterms:W3CDTF">2023-09-22T13:52:00Z</dcterms:created>
  <dcterms:modified xsi:type="dcterms:W3CDTF">2023-10-18T16:50:00Z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0x010100AA11D2E61376CD4B8948A08AF9A8A878</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