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6C32C" w14:textId="4BA99772" w:rsidR="00506646" w:rsidRPr="00A52A64" w:rsidRDefault="00DA25F5" w:rsidP="00506646">
      <w:pPr>
        <w:pStyle w:val="Heading1"/>
        <w:spacing w:line="860" w:lineRule="exact"/>
        <w:rPr>
          <w:sz w:val="76"/>
          <w:szCs w:val="76"/>
          <w:highlight w:val="yellow"/>
        </w:rPr>
      </w:pPr>
      <w:r w:rsidRPr="00DA25F5">
        <w:rPr>
          <w:sz w:val="76"/>
          <w:szCs w:val="76"/>
        </w:rPr>
        <w:t xml:space="preserve">Brief to the Standing Committee on Science and Research </w:t>
      </w:r>
    </w:p>
    <w:p w14:paraId="6FBCADD9" w14:textId="7B58FFBC" w:rsidR="009C547B" w:rsidRPr="00506646" w:rsidRDefault="00033635" w:rsidP="00506646">
      <w:pPr>
        <w:pStyle w:val="Heading2"/>
        <w:spacing w:after="720" w:line="680" w:lineRule="exact"/>
        <w:rPr>
          <w:sz w:val="56"/>
          <w:szCs w:val="56"/>
        </w:rPr>
        <w:sectPr w:rsidR="009C547B" w:rsidRPr="00506646" w:rsidSect="008F06C6">
          <w:headerReference w:type="default" r:id="rId11"/>
          <w:footerReference w:type="default" r:id="rId12"/>
          <w:headerReference w:type="first" r:id="rId13"/>
          <w:footerReference w:type="first" r:id="rId14"/>
          <w:pgSz w:w="12240" w:h="15840" w:code="1"/>
          <w:pgMar w:top="907" w:right="1080" w:bottom="907" w:left="360" w:header="36" w:footer="0" w:gutter="720"/>
          <w:cols w:space="720"/>
          <w:titlePg/>
          <w:docGrid w:linePitch="299"/>
        </w:sectPr>
      </w:pPr>
      <w:r w:rsidRPr="00033635">
        <w:rPr>
          <w:sz w:val="56"/>
          <w:szCs w:val="56"/>
          <w:lang w:val="en-US"/>
        </w:rPr>
        <w:t>Study of the Government of Canada’s Graduate Scholarship and Post-doctoral Fellowship Programs</w:t>
      </w:r>
    </w:p>
    <w:p w14:paraId="5811EFBB" w14:textId="72B6B355" w:rsidR="00FB7F43" w:rsidRDefault="007872EF" w:rsidP="00FB7F43">
      <w:pPr>
        <w:pStyle w:val="Coverdate"/>
      </w:pPr>
      <w:r>
        <w:t>June</w:t>
      </w:r>
      <w:r w:rsidR="00FB7F43" w:rsidRPr="00FB7F43">
        <w:t xml:space="preserve"> 202</w:t>
      </w:r>
      <w:r>
        <w:t>3</w:t>
      </w:r>
      <w:r w:rsidR="00FB7F43" w:rsidRPr="00FB7F43">
        <w:t xml:space="preserve"> </w:t>
      </w:r>
    </w:p>
    <w:p w14:paraId="5D4AA148" w14:textId="77777777" w:rsidR="00FB7F43" w:rsidRDefault="00FB7F43">
      <w:pPr>
        <w:sectPr w:rsidR="00FB7F43" w:rsidSect="00FB7F43">
          <w:type w:val="continuous"/>
          <w:pgSz w:w="12240" w:h="15840" w:code="1"/>
          <w:pgMar w:top="907" w:right="1080" w:bottom="907" w:left="360" w:header="1080" w:footer="0" w:gutter="720"/>
          <w:cols w:space="720"/>
          <w:docGrid w:linePitch="299"/>
        </w:sectPr>
      </w:pPr>
    </w:p>
    <w:p w14:paraId="668B715B" w14:textId="58840F45" w:rsidR="00DE3FBD" w:rsidRDefault="00DE3FBD">
      <w:pPr>
        <w:rPr>
          <w:rFonts w:ascii="Myriad Pro Light" w:eastAsia="Times New Roman" w:hAnsi="Myriad Pro Light" w:cs="Arial"/>
          <w:color w:val="50BE1C"/>
          <w:sz w:val="29"/>
          <w:szCs w:val="29"/>
          <w:lang w:val="en-CA" w:eastAsia="en-US"/>
        </w:rPr>
      </w:pPr>
      <w:r>
        <w:br w:type="page"/>
      </w:r>
    </w:p>
    <w:p w14:paraId="34DBA28F" w14:textId="77777777" w:rsidR="00AB4727" w:rsidRDefault="00AB4727" w:rsidP="00F308F3">
      <w:pPr>
        <w:spacing w:after="200" w:line="240" w:lineRule="exact"/>
        <w:rPr>
          <w:shd w:val="clear" w:color="auto" w:fill="FFFFFF"/>
        </w:rPr>
        <w:sectPr w:rsidR="00AB4727" w:rsidSect="002E3013">
          <w:type w:val="continuous"/>
          <w:pgSz w:w="12240" w:h="15840" w:code="1"/>
          <w:pgMar w:top="2160" w:right="1080" w:bottom="907" w:left="360" w:header="1440" w:footer="907" w:gutter="720"/>
          <w:cols w:num="2" w:space="720"/>
          <w:docGrid w:linePitch="299"/>
        </w:sectPr>
      </w:pPr>
    </w:p>
    <w:p w14:paraId="1AB98364" w14:textId="77777777" w:rsidR="00A52A64" w:rsidRPr="005F6DA5" w:rsidRDefault="00A52A64" w:rsidP="005F6DA5">
      <w:pPr>
        <w:pStyle w:val="sources"/>
        <w:spacing w:after="300" w:line="240" w:lineRule="exact"/>
        <w:rPr>
          <w:sz w:val="22"/>
          <w:szCs w:val="22"/>
          <w:lang w:val="en-US"/>
        </w:rPr>
      </w:pPr>
      <w:r w:rsidRPr="005F6DA5">
        <w:rPr>
          <w:sz w:val="22"/>
          <w:szCs w:val="22"/>
          <w:lang w:val="en-US"/>
        </w:rPr>
        <w:lastRenderedPageBreak/>
        <w:t>Founded in 1951, the Canadian Association of University Teachers (CAUT) represents more than 72,000 teachers, librarians, scientists, researchers, general staff, and other academic professionals in 125 Canadian post-secondary institutions including universities, colleges, and polytechnics. CAUT works in the public interest to improve the quality and accessibility of Canada’s post-secondary education.</w:t>
      </w:r>
    </w:p>
    <w:p w14:paraId="3FEEEEDC" w14:textId="77777777" w:rsidR="00A52A64" w:rsidRPr="00A424EA" w:rsidRDefault="00A52A64" w:rsidP="00A424EA">
      <w:pPr>
        <w:spacing w:after="100" w:line="240" w:lineRule="exact"/>
        <w:rPr>
          <w:rFonts w:ascii="Myriad Pro Light" w:eastAsiaTheme="majorEastAsia" w:hAnsi="Myriad Pro Light" w:cstheme="majorBidi"/>
          <w:b/>
          <w:color w:val="1C8700"/>
          <w:spacing w:val="-2"/>
          <w:sz w:val="29"/>
          <w:szCs w:val="24"/>
          <w:lang w:val="en-CA"/>
        </w:rPr>
      </w:pPr>
      <w:r w:rsidRPr="00A424EA">
        <w:rPr>
          <w:rFonts w:ascii="Myriad Pro Light" w:eastAsiaTheme="majorEastAsia" w:hAnsi="Myriad Pro Light" w:cstheme="majorBidi"/>
          <w:b/>
          <w:color w:val="1C8700"/>
          <w:spacing w:val="-2"/>
          <w:sz w:val="29"/>
          <w:szCs w:val="24"/>
          <w:lang w:val="en-CA"/>
        </w:rPr>
        <w:t>Introduction</w:t>
      </w:r>
    </w:p>
    <w:p w14:paraId="4C4E4763" w14:textId="6F66F5C4" w:rsidR="00A52A64" w:rsidRPr="005F6DA5" w:rsidRDefault="00A52A64" w:rsidP="005F6DA5">
      <w:pPr>
        <w:pStyle w:val="sources"/>
        <w:spacing w:after="300" w:line="240" w:lineRule="exact"/>
        <w:rPr>
          <w:sz w:val="22"/>
          <w:szCs w:val="22"/>
          <w:lang w:val="en-US"/>
        </w:rPr>
      </w:pPr>
      <w:r w:rsidRPr="005F6DA5">
        <w:rPr>
          <w:sz w:val="22"/>
          <w:szCs w:val="22"/>
          <w:lang w:val="en-US"/>
        </w:rPr>
        <w:t>CAUT welcomes the opportunity to submit a written brief to the Standing Committee on Science and Research’s study on graduate scholarship and post-doctoral fellowship programs. Today’s graduate students and fellows are tomorrow’s leading researchers and are integral to Canada’s research and science workforce. Investment and planning are needed to ensure a flourishing and sustainable research community that will foster the knowledge needed to improve quality of life and address the critical challenges we face as a society.</w:t>
      </w:r>
    </w:p>
    <w:p w14:paraId="3C62CA87" w14:textId="2A1F7708" w:rsidR="00A52A64" w:rsidRPr="005F6DA5" w:rsidRDefault="00A52A64" w:rsidP="005F6DA5">
      <w:pPr>
        <w:pStyle w:val="sources"/>
        <w:spacing w:after="300" w:line="240" w:lineRule="exact"/>
        <w:rPr>
          <w:sz w:val="22"/>
          <w:szCs w:val="22"/>
          <w:lang w:val="en-US"/>
        </w:rPr>
      </w:pPr>
      <w:r w:rsidRPr="005F6DA5">
        <w:rPr>
          <w:sz w:val="22"/>
          <w:szCs w:val="22"/>
          <w:lang w:val="en-US"/>
        </w:rPr>
        <w:t xml:space="preserve">To </w:t>
      </w:r>
      <w:r w:rsidR="00AA560C" w:rsidRPr="00AA560C">
        <w:rPr>
          <w:sz w:val="22"/>
          <w:szCs w:val="22"/>
          <w:lang w:val="en-US"/>
        </w:rPr>
        <w:t>achieve these goals, the value and number of fellowships and scholarships should be increased, as well as research grants, as these are used</w:t>
      </w:r>
      <w:r w:rsidRPr="005F6DA5">
        <w:rPr>
          <w:sz w:val="22"/>
          <w:szCs w:val="22"/>
          <w:lang w:val="en-US"/>
        </w:rPr>
        <w:t xml:space="preserve"> to employ and train </w:t>
      </w:r>
      <w:proofErr w:type="gramStart"/>
      <w:r w:rsidRPr="005F6DA5">
        <w:rPr>
          <w:sz w:val="22"/>
          <w:szCs w:val="22"/>
          <w:lang w:val="en-US"/>
        </w:rPr>
        <w:t>the majority of</w:t>
      </w:r>
      <w:proofErr w:type="gramEnd"/>
      <w:r w:rsidRPr="005F6DA5">
        <w:rPr>
          <w:sz w:val="22"/>
          <w:szCs w:val="22"/>
          <w:lang w:val="en-US"/>
        </w:rPr>
        <w:t xml:space="preserve"> graduate students. </w:t>
      </w:r>
      <w:proofErr w:type="gramStart"/>
      <w:r w:rsidRPr="005F6DA5">
        <w:rPr>
          <w:sz w:val="22"/>
          <w:szCs w:val="22"/>
          <w:lang w:val="en-US"/>
        </w:rPr>
        <w:t>Both of these</w:t>
      </w:r>
      <w:proofErr w:type="gramEnd"/>
      <w:r w:rsidRPr="005F6DA5">
        <w:rPr>
          <w:sz w:val="22"/>
          <w:szCs w:val="22"/>
          <w:lang w:val="en-US"/>
        </w:rPr>
        <w:t xml:space="preserve"> investments are needed to address affordability challenges and support the next generation of researchers and scientists. </w:t>
      </w:r>
    </w:p>
    <w:p w14:paraId="6BD8250D" w14:textId="3D91EC21" w:rsidR="00A52A64" w:rsidRPr="00757DD5" w:rsidRDefault="00A52A64" w:rsidP="00757DD5">
      <w:pPr>
        <w:spacing w:after="100" w:line="240" w:lineRule="exact"/>
        <w:rPr>
          <w:rFonts w:ascii="Myriad Pro Light" w:eastAsiaTheme="majorEastAsia" w:hAnsi="Myriad Pro Light" w:cstheme="majorBidi"/>
          <w:b/>
          <w:color w:val="1C8700"/>
          <w:spacing w:val="-2"/>
          <w:sz w:val="29"/>
          <w:szCs w:val="24"/>
          <w:lang w:val="en-CA"/>
        </w:rPr>
      </w:pPr>
      <w:r w:rsidRPr="00757DD5">
        <w:rPr>
          <w:rFonts w:ascii="Myriad Pro Light" w:eastAsiaTheme="majorEastAsia" w:hAnsi="Myriad Pro Light" w:cstheme="majorBidi"/>
          <w:b/>
          <w:color w:val="1C8700"/>
          <w:spacing w:val="-2"/>
          <w:sz w:val="29"/>
          <w:szCs w:val="24"/>
          <w:lang w:val="en-CA"/>
        </w:rPr>
        <w:t xml:space="preserve">Increase support for early career </w:t>
      </w:r>
      <w:proofErr w:type="gramStart"/>
      <w:r w:rsidRPr="00757DD5">
        <w:rPr>
          <w:rFonts w:ascii="Myriad Pro Light" w:eastAsiaTheme="majorEastAsia" w:hAnsi="Myriad Pro Light" w:cstheme="majorBidi"/>
          <w:b/>
          <w:color w:val="1C8700"/>
          <w:spacing w:val="-2"/>
          <w:sz w:val="29"/>
          <w:szCs w:val="24"/>
          <w:lang w:val="en-CA"/>
        </w:rPr>
        <w:t>researchers</w:t>
      </w:r>
      <w:proofErr w:type="gramEnd"/>
    </w:p>
    <w:p w14:paraId="7EADB996" w14:textId="77777777" w:rsidR="00A52A64" w:rsidRPr="005F6DA5" w:rsidRDefault="00A52A64" w:rsidP="005F6DA5">
      <w:pPr>
        <w:pStyle w:val="sources"/>
        <w:spacing w:after="300" w:line="240" w:lineRule="exact"/>
        <w:rPr>
          <w:sz w:val="22"/>
          <w:szCs w:val="22"/>
          <w:lang w:val="en-US"/>
        </w:rPr>
      </w:pPr>
      <w:r w:rsidRPr="005F6DA5">
        <w:rPr>
          <w:sz w:val="22"/>
          <w:szCs w:val="22"/>
          <w:lang w:val="en-US"/>
        </w:rPr>
        <w:t>The value of graduate scholarship awards in Canada has remained unchanged for nearly 20 years, and postdoctoral fellowships had only a slight increase over the same period. As the cost of living has skyrocketed across the country in recent months, these scholarships and fellowships provide increasingly inadequate support or incentive to begin or continue graduate studies.</w:t>
      </w:r>
    </w:p>
    <w:p w14:paraId="69B5BCA8" w14:textId="17FF080C" w:rsidR="00A52A64" w:rsidRPr="005F6DA5" w:rsidRDefault="00A52A64" w:rsidP="005F6DA5">
      <w:pPr>
        <w:pStyle w:val="sources"/>
        <w:spacing w:after="300" w:line="240" w:lineRule="exact"/>
        <w:rPr>
          <w:sz w:val="22"/>
          <w:szCs w:val="22"/>
          <w:lang w:val="en-US"/>
        </w:rPr>
      </w:pPr>
      <w:r w:rsidRPr="005F6DA5">
        <w:rPr>
          <w:sz w:val="22"/>
          <w:szCs w:val="22"/>
          <w:lang w:val="en-US"/>
        </w:rPr>
        <w:t xml:space="preserve">Most graduate students and post-doctoral fellows are not funded by scholarships and fellowships, but through research assistantships paid for by research grants. </w:t>
      </w:r>
      <w:r w:rsidR="00890D08">
        <w:rPr>
          <w:sz w:val="22"/>
          <w:szCs w:val="22"/>
          <w:lang w:val="en-US"/>
        </w:rPr>
        <w:t xml:space="preserve">                                                                              </w:t>
      </w:r>
      <w:r w:rsidRPr="005F6DA5">
        <w:rPr>
          <w:sz w:val="22"/>
          <w:szCs w:val="22"/>
          <w:lang w:val="en-US"/>
        </w:rPr>
        <w:t>To improve student wages, increases are also needed to grant sizes and to the number of grants available, enabling faculty researchers to improve compensation and to hire additional graduate students and post-doc researchers. Competitive and fair remuneration for this work is critical to attract and retain early career researchers.</w:t>
      </w:r>
    </w:p>
    <w:p w14:paraId="7C135AF6" w14:textId="09E3FB32" w:rsidR="00A52A64" w:rsidRPr="005F6DA5" w:rsidRDefault="00A52A64" w:rsidP="005F6DA5">
      <w:pPr>
        <w:pStyle w:val="sources"/>
        <w:spacing w:after="300" w:line="240" w:lineRule="exact"/>
        <w:rPr>
          <w:sz w:val="22"/>
          <w:szCs w:val="22"/>
          <w:lang w:val="en-US"/>
        </w:rPr>
      </w:pPr>
      <w:r w:rsidRPr="005F6DA5">
        <w:rPr>
          <w:sz w:val="22"/>
          <w:szCs w:val="22"/>
          <w:lang w:val="en-US"/>
        </w:rPr>
        <w:t>Without higher award levels or increased access to research opportunities and stipends, graduate students and post-doctoral fellows are left scrambling to pay their bills, often having to sacrifice time and attention from their research and contributing to impacts on mental health.</w:t>
      </w:r>
      <w:r w:rsidR="000A3208">
        <w:rPr>
          <w:rStyle w:val="FootnoteReference"/>
          <w:sz w:val="22"/>
          <w:szCs w:val="22"/>
          <w:lang w:val="en-US"/>
        </w:rPr>
        <w:footnoteReference w:id="1"/>
      </w:r>
      <w:r w:rsidRPr="005F6DA5">
        <w:rPr>
          <w:sz w:val="22"/>
          <w:szCs w:val="22"/>
          <w:lang w:val="en-US"/>
        </w:rPr>
        <w:t xml:space="preserve">  With increased prices of food, rent and incidentals, as well as rising tuition costs, low award values and limited access to funded research opportunities make it increasingly difficult for Canada to grow its talent pool of researchers. Canada is 25th among OECD countries for graduate student attainment.</w:t>
      </w:r>
      <w:r w:rsidR="008C442C">
        <w:rPr>
          <w:rStyle w:val="FootnoteReference"/>
          <w:sz w:val="22"/>
          <w:szCs w:val="22"/>
          <w:lang w:val="en-US"/>
        </w:rPr>
        <w:footnoteReference w:id="2"/>
      </w:r>
      <w:r w:rsidRPr="005F6DA5">
        <w:rPr>
          <w:sz w:val="22"/>
          <w:szCs w:val="22"/>
          <w:lang w:val="en-US"/>
        </w:rPr>
        <w:t xml:space="preserve">  </w:t>
      </w:r>
    </w:p>
    <w:p w14:paraId="0D9578B8" w14:textId="5367E542" w:rsidR="00A52A64" w:rsidRPr="005F6DA5" w:rsidRDefault="00A52A64" w:rsidP="005F6DA5">
      <w:pPr>
        <w:pStyle w:val="sources"/>
        <w:spacing w:after="300" w:line="240" w:lineRule="exact"/>
        <w:rPr>
          <w:sz w:val="22"/>
          <w:szCs w:val="22"/>
          <w:lang w:val="en-US"/>
        </w:rPr>
      </w:pPr>
      <w:r w:rsidRPr="005F6DA5">
        <w:rPr>
          <w:sz w:val="22"/>
          <w:szCs w:val="22"/>
          <w:lang w:val="en-US"/>
        </w:rPr>
        <w:t xml:space="preserve">CAUT supports the calls made in the </w:t>
      </w:r>
      <w:hyperlink r:id="rId15" w:history="1">
        <w:r w:rsidRPr="006E7DC4">
          <w:rPr>
            <w:rStyle w:val="Hyperlink"/>
            <w:rFonts w:cstheme="minorBidi"/>
            <w:sz w:val="22"/>
            <w:szCs w:val="22"/>
            <w:lang w:val="en-US"/>
          </w:rPr>
          <w:t>Report of the Advisory Panel on the Federal Research Support System</w:t>
        </w:r>
      </w:hyperlink>
      <w:r w:rsidRPr="005F6DA5">
        <w:rPr>
          <w:sz w:val="22"/>
          <w:szCs w:val="22"/>
          <w:lang w:val="en-US"/>
        </w:rPr>
        <w:t xml:space="preserve"> to increase the granting councils' core grant programming by at least ten percent annually for five years and that funding for students (paid through scholarships and through grants from the granting councils) be increased to an internationally competitive level.</w:t>
      </w:r>
    </w:p>
    <w:p w14:paraId="48434E84" w14:textId="77777777" w:rsidR="00766827" w:rsidRPr="00506646" w:rsidRDefault="00766827" w:rsidP="00766827">
      <w:pPr>
        <w:pStyle w:val="Heading3"/>
      </w:pPr>
      <w:r w:rsidRPr="00506646">
        <w:t>Recommendation 1</w:t>
      </w:r>
    </w:p>
    <w:p w14:paraId="0150A79A" w14:textId="364C23D2" w:rsidR="00A52A64" w:rsidRPr="006D7723" w:rsidRDefault="00A52A64" w:rsidP="00766827">
      <w:pPr>
        <w:pStyle w:val="sources"/>
        <w:spacing w:after="200" w:line="240" w:lineRule="exact"/>
        <w:rPr>
          <w:b/>
          <w:bCs/>
          <w:sz w:val="22"/>
          <w:szCs w:val="22"/>
          <w:lang w:val="en-US"/>
        </w:rPr>
      </w:pPr>
      <w:r w:rsidRPr="006D7723">
        <w:rPr>
          <w:b/>
          <w:bCs/>
          <w:sz w:val="22"/>
          <w:szCs w:val="22"/>
          <w:lang w:val="en-US"/>
        </w:rPr>
        <w:t>Increase the number and value of graduate student scholarships and postdoctoral fellowships by $185 million in 2023 and an additional $55 million per year thereafter.</w:t>
      </w:r>
    </w:p>
    <w:p w14:paraId="68BEF788" w14:textId="77777777" w:rsidR="00FD14BB" w:rsidRPr="00506646" w:rsidRDefault="00FD14BB" w:rsidP="00FD14BB">
      <w:pPr>
        <w:pStyle w:val="Heading3"/>
      </w:pPr>
      <w:r w:rsidRPr="00506646">
        <w:t xml:space="preserve">Recommendation 2 </w:t>
      </w:r>
    </w:p>
    <w:p w14:paraId="0E3A5F65" w14:textId="6860DA2A" w:rsidR="00A52A64" w:rsidRPr="006D7723" w:rsidRDefault="00A52A64" w:rsidP="00766827">
      <w:pPr>
        <w:pStyle w:val="sources"/>
        <w:spacing w:after="200" w:line="240" w:lineRule="exact"/>
        <w:rPr>
          <w:b/>
          <w:bCs/>
          <w:sz w:val="22"/>
          <w:szCs w:val="22"/>
          <w:lang w:val="en-US"/>
        </w:rPr>
      </w:pPr>
      <w:r w:rsidRPr="006D7723">
        <w:rPr>
          <w:b/>
          <w:bCs/>
          <w:sz w:val="22"/>
          <w:szCs w:val="22"/>
          <w:lang w:val="en-US"/>
        </w:rPr>
        <w:t xml:space="preserve">Increase funding for the research agencies core grant </w:t>
      </w:r>
      <w:r w:rsidR="00C63676" w:rsidRPr="006D7723">
        <w:rPr>
          <w:b/>
          <w:bCs/>
          <w:sz w:val="22"/>
          <w:szCs w:val="22"/>
          <w:lang w:val="en-US"/>
        </w:rPr>
        <w:t>p</w:t>
      </w:r>
      <w:r w:rsidRPr="006D7723">
        <w:rPr>
          <w:b/>
          <w:bCs/>
          <w:sz w:val="22"/>
          <w:szCs w:val="22"/>
          <w:lang w:val="en-US"/>
        </w:rPr>
        <w:t>rogramming by at least ten percent annually for five years.</w:t>
      </w:r>
    </w:p>
    <w:p w14:paraId="38E91AF2" w14:textId="63037C31" w:rsidR="00A52A64" w:rsidRPr="00271D74" w:rsidRDefault="00A52A64" w:rsidP="00271D74">
      <w:pPr>
        <w:pStyle w:val="Heading3"/>
      </w:pPr>
      <w:r w:rsidRPr="00271D74">
        <w:lastRenderedPageBreak/>
        <w:t xml:space="preserve">Fix Canada's science and research talent pipeline </w:t>
      </w:r>
    </w:p>
    <w:p w14:paraId="1A8102C0" w14:textId="439B4825" w:rsidR="00E14E34" w:rsidRPr="005F6DA5" w:rsidRDefault="00A52A64" w:rsidP="005F6DA5">
      <w:pPr>
        <w:pStyle w:val="sources"/>
        <w:spacing w:after="300" w:line="240" w:lineRule="exact"/>
        <w:rPr>
          <w:sz w:val="22"/>
          <w:szCs w:val="22"/>
          <w:lang w:val="en-US"/>
        </w:rPr>
      </w:pPr>
      <w:r w:rsidRPr="005F6DA5">
        <w:rPr>
          <w:sz w:val="22"/>
          <w:szCs w:val="22"/>
          <w:lang w:val="en-US"/>
        </w:rPr>
        <w:t>A 2021 Council of Canadian Academies report concluded that cultivating a robust, resilient, and diverse scientific workforce is central to the development of a nation’s research capacity and requires supporting researchers throughout their careers.</w:t>
      </w:r>
      <w:r w:rsidR="003E00D3">
        <w:rPr>
          <w:rStyle w:val="FootnoteReference"/>
          <w:sz w:val="22"/>
          <w:szCs w:val="22"/>
          <w:lang w:val="en-US"/>
        </w:rPr>
        <w:footnoteReference w:id="3"/>
      </w:r>
      <w:r w:rsidRPr="005F6DA5">
        <w:rPr>
          <w:sz w:val="22"/>
          <w:szCs w:val="22"/>
          <w:lang w:val="en-US"/>
        </w:rPr>
        <w:t xml:space="preserve"> </w:t>
      </w:r>
    </w:p>
    <w:p w14:paraId="311C86B7" w14:textId="062FBB11" w:rsidR="00A52A64" w:rsidRPr="005F6DA5" w:rsidRDefault="00A52A64" w:rsidP="005F6DA5">
      <w:pPr>
        <w:pStyle w:val="sources"/>
        <w:spacing w:after="300" w:line="240" w:lineRule="exact"/>
        <w:rPr>
          <w:sz w:val="22"/>
          <w:szCs w:val="22"/>
          <w:lang w:val="en-US"/>
        </w:rPr>
      </w:pPr>
      <w:r w:rsidRPr="005F6DA5">
        <w:rPr>
          <w:sz w:val="22"/>
          <w:szCs w:val="22"/>
          <w:lang w:val="en-US"/>
        </w:rPr>
        <w:t>Yet the job market for discovery research in Canada has steadily eroded.  The number of assistant professorship or early career research jobs in Canada has shrunk by 17% in the last 15 years.</w:t>
      </w:r>
      <w:r w:rsidR="004349E4">
        <w:rPr>
          <w:rStyle w:val="FootnoteReference"/>
          <w:sz w:val="22"/>
          <w:szCs w:val="22"/>
          <w:lang w:val="en-US"/>
        </w:rPr>
        <w:footnoteReference w:id="4"/>
      </w:r>
      <w:r w:rsidRPr="005F6DA5">
        <w:rPr>
          <w:sz w:val="22"/>
          <w:szCs w:val="22"/>
          <w:lang w:val="en-US"/>
        </w:rPr>
        <w:t xml:space="preserve">   Over the last six years, Canada is the only G7 country to experience a decrease in the number of researchers. Between 2014 and 2018, the number of full-time researchers per million inhabitants in Canada declined by 4.8%. During that same period, the number of researchers in the United States increased by 4.9%, in the United Kingdom by 9%, and in Germany by 20%.</w:t>
      </w:r>
      <w:r w:rsidR="00996A5B">
        <w:rPr>
          <w:rStyle w:val="FootnoteReference"/>
          <w:sz w:val="22"/>
          <w:szCs w:val="22"/>
          <w:lang w:val="en-US"/>
        </w:rPr>
        <w:footnoteReference w:id="5"/>
      </w:r>
      <w:r w:rsidRPr="005F6DA5">
        <w:rPr>
          <w:sz w:val="22"/>
          <w:szCs w:val="22"/>
          <w:lang w:val="en-US"/>
        </w:rPr>
        <w:t xml:space="preserve">   </w:t>
      </w:r>
    </w:p>
    <w:p w14:paraId="2E68E915" w14:textId="77777777" w:rsidR="00A52A64" w:rsidRPr="005F6DA5" w:rsidRDefault="00A52A64" w:rsidP="005F6DA5">
      <w:pPr>
        <w:pStyle w:val="sources"/>
        <w:spacing w:after="300" w:line="240" w:lineRule="exact"/>
        <w:rPr>
          <w:sz w:val="22"/>
          <w:szCs w:val="22"/>
          <w:lang w:val="en-US"/>
        </w:rPr>
      </w:pPr>
      <w:r w:rsidRPr="005F6DA5">
        <w:rPr>
          <w:sz w:val="22"/>
          <w:szCs w:val="22"/>
          <w:lang w:val="en-US"/>
        </w:rPr>
        <w:t xml:space="preserve">Research capacity is also affected by the fact that approximately one-third of faculty at Canadian universities and colleges are working in teaching-only contract positions. Between 2006 and 2016, census data shows a 79% increase in the number of university professors working part-time and or part-year. In CAUT’s surveys of contract academic staff members, </w:t>
      </w:r>
      <w:proofErr w:type="gramStart"/>
      <w:r w:rsidRPr="005F6DA5">
        <w:rPr>
          <w:sz w:val="22"/>
          <w:szCs w:val="22"/>
          <w:lang w:val="en-US"/>
        </w:rPr>
        <w:t>the majority of</w:t>
      </w:r>
      <w:proofErr w:type="gramEnd"/>
      <w:r w:rsidRPr="005F6DA5">
        <w:rPr>
          <w:sz w:val="22"/>
          <w:szCs w:val="22"/>
          <w:lang w:val="en-US"/>
        </w:rPr>
        <w:t xml:space="preserve"> respondents would like to work in a position that also supports their research but are limited to teaching-only appointments. </w:t>
      </w:r>
    </w:p>
    <w:p w14:paraId="09C292DD" w14:textId="76F20F72" w:rsidR="00A52A64" w:rsidRDefault="00A52A64" w:rsidP="005F6DA5">
      <w:pPr>
        <w:pStyle w:val="sources"/>
        <w:spacing w:after="300" w:line="240" w:lineRule="exact"/>
        <w:rPr>
          <w:sz w:val="22"/>
          <w:szCs w:val="22"/>
          <w:lang w:val="en-US"/>
        </w:rPr>
      </w:pPr>
      <w:r w:rsidRPr="005F6DA5">
        <w:rPr>
          <w:sz w:val="22"/>
          <w:szCs w:val="22"/>
          <w:lang w:val="en-US"/>
        </w:rPr>
        <w:t xml:space="preserve">The </w:t>
      </w:r>
      <w:r w:rsidR="00B16AD7" w:rsidRPr="00B16AD7">
        <w:rPr>
          <w:sz w:val="22"/>
          <w:szCs w:val="22"/>
          <w:lang w:val="en-US"/>
        </w:rPr>
        <w:t>federal government should work with its counterparts and other stakeholders to support workforce renewal and ensure a flourishing research community in Canada for years to come.</w:t>
      </w:r>
    </w:p>
    <w:p w14:paraId="470F3D56" w14:textId="77777777" w:rsidR="00960F94" w:rsidRPr="005F6DA5" w:rsidRDefault="00960F94" w:rsidP="005F6DA5">
      <w:pPr>
        <w:pStyle w:val="sources"/>
        <w:spacing w:after="300" w:line="240" w:lineRule="exact"/>
        <w:rPr>
          <w:sz w:val="22"/>
          <w:szCs w:val="22"/>
          <w:lang w:val="en-US"/>
        </w:rPr>
      </w:pPr>
    </w:p>
    <w:p w14:paraId="36C6669F" w14:textId="42432E77" w:rsidR="00000E9E" w:rsidRPr="00506646" w:rsidRDefault="00000E9E" w:rsidP="00000E9E">
      <w:pPr>
        <w:pStyle w:val="Heading3"/>
      </w:pPr>
      <w:r w:rsidRPr="00506646">
        <w:t xml:space="preserve">Recommendation </w:t>
      </w:r>
      <w:r>
        <w:t>3</w:t>
      </w:r>
    </w:p>
    <w:p w14:paraId="0888DFA9" w14:textId="2D115176" w:rsidR="00A52A64" w:rsidRPr="006D7723" w:rsidRDefault="00A52A64" w:rsidP="005F6DA5">
      <w:pPr>
        <w:pStyle w:val="sources"/>
        <w:spacing w:after="300" w:line="240" w:lineRule="exact"/>
        <w:rPr>
          <w:b/>
          <w:bCs/>
          <w:sz w:val="22"/>
          <w:szCs w:val="22"/>
          <w:lang w:val="en-US"/>
        </w:rPr>
      </w:pPr>
      <w:r w:rsidRPr="006D7723">
        <w:rPr>
          <w:b/>
          <w:bCs/>
          <w:sz w:val="22"/>
          <w:szCs w:val="22"/>
          <w:lang w:val="en-US"/>
        </w:rPr>
        <w:t xml:space="preserve">Work </w:t>
      </w:r>
      <w:r w:rsidR="00AD5961" w:rsidRPr="00AD5961">
        <w:rPr>
          <w:b/>
          <w:bCs/>
          <w:sz w:val="22"/>
          <w:szCs w:val="22"/>
          <w:lang w:val="en-US"/>
        </w:rPr>
        <w:t xml:space="preserve">with provinces, </w:t>
      </w:r>
      <w:proofErr w:type="gramStart"/>
      <w:r w:rsidR="00AD5961" w:rsidRPr="00AD5961">
        <w:rPr>
          <w:b/>
          <w:bCs/>
          <w:sz w:val="22"/>
          <w:szCs w:val="22"/>
          <w:lang w:val="en-US"/>
        </w:rPr>
        <w:t>territories</w:t>
      </w:r>
      <w:proofErr w:type="gramEnd"/>
      <w:r w:rsidR="00AD5961" w:rsidRPr="00AD5961">
        <w:rPr>
          <w:b/>
          <w:bCs/>
          <w:sz w:val="22"/>
          <w:szCs w:val="22"/>
          <w:lang w:val="en-US"/>
        </w:rPr>
        <w:t xml:space="preserve"> and other stakeholders</w:t>
      </w:r>
      <w:r w:rsidRPr="006D7723">
        <w:rPr>
          <w:b/>
          <w:bCs/>
          <w:sz w:val="22"/>
          <w:szCs w:val="22"/>
          <w:lang w:val="en-US"/>
        </w:rPr>
        <w:t xml:space="preserve"> to develop a pan-Canadian science and research workforce strategy and expand the University and College Academic Staff System Survey to ensure it is data-driven. </w:t>
      </w:r>
    </w:p>
    <w:p w14:paraId="3F52924B" w14:textId="77E71608" w:rsidR="00A52A64" w:rsidRPr="00540313" w:rsidRDefault="00A52A64" w:rsidP="00540313">
      <w:pPr>
        <w:pStyle w:val="Heading3"/>
      </w:pPr>
      <w:r w:rsidRPr="00540313">
        <w:t xml:space="preserve">Advance equity, </w:t>
      </w:r>
      <w:proofErr w:type="gramStart"/>
      <w:r w:rsidRPr="00540313">
        <w:t>diversity</w:t>
      </w:r>
      <w:proofErr w:type="gramEnd"/>
      <w:r w:rsidRPr="00540313">
        <w:t xml:space="preserve"> and inclusion</w:t>
      </w:r>
    </w:p>
    <w:p w14:paraId="2306ED16" w14:textId="1DCC1635" w:rsidR="00A52A64" w:rsidRPr="005F6DA5" w:rsidRDefault="00A52A64" w:rsidP="005F6DA5">
      <w:pPr>
        <w:pStyle w:val="sources"/>
        <w:spacing w:after="300" w:line="240" w:lineRule="exact"/>
        <w:rPr>
          <w:sz w:val="22"/>
          <w:szCs w:val="22"/>
          <w:lang w:val="en-US"/>
        </w:rPr>
      </w:pPr>
      <w:r w:rsidRPr="005F6DA5">
        <w:rPr>
          <w:sz w:val="22"/>
          <w:szCs w:val="22"/>
          <w:lang w:val="en-US"/>
        </w:rPr>
        <w:t xml:space="preserve">While available data is limited, there is evidence that the academic workforce is not as diverse as either the student body or the general labour force. Evidence also shows significant wage gaps between men and women, and between white, </w:t>
      </w:r>
      <w:proofErr w:type="gramStart"/>
      <w:r w:rsidRPr="005F6DA5">
        <w:rPr>
          <w:sz w:val="22"/>
          <w:szCs w:val="22"/>
          <w:lang w:val="en-US"/>
        </w:rPr>
        <w:t>Indigenous</w:t>
      </w:r>
      <w:proofErr w:type="gramEnd"/>
      <w:r w:rsidRPr="005F6DA5">
        <w:rPr>
          <w:sz w:val="22"/>
          <w:szCs w:val="22"/>
          <w:lang w:val="en-US"/>
        </w:rPr>
        <w:t xml:space="preserve"> and racialized academic staff.</w:t>
      </w:r>
      <w:r w:rsidR="002750A6">
        <w:rPr>
          <w:rStyle w:val="FootnoteReference"/>
          <w:sz w:val="22"/>
          <w:szCs w:val="22"/>
          <w:lang w:val="en-US"/>
        </w:rPr>
        <w:footnoteReference w:id="6"/>
      </w:r>
      <w:r w:rsidRPr="005F6DA5">
        <w:rPr>
          <w:sz w:val="22"/>
          <w:szCs w:val="22"/>
          <w:lang w:val="en-US"/>
        </w:rPr>
        <w:t xml:space="preserve">  </w:t>
      </w:r>
    </w:p>
    <w:p w14:paraId="5BC233AA" w14:textId="11649CB8" w:rsidR="00A52A64" w:rsidRPr="005F6DA5" w:rsidRDefault="00A52A64" w:rsidP="005F6DA5">
      <w:pPr>
        <w:pStyle w:val="sources"/>
        <w:spacing w:after="300" w:line="240" w:lineRule="exact"/>
        <w:rPr>
          <w:sz w:val="22"/>
          <w:szCs w:val="22"/>
          <w:lang w:val="en-US"/>
        </w:rPr>
      </w:pPr>
      <w:r w:rsidRPr="005F6DA5">
        <w:rPr>
          <w:sz w:val="22"/>
          <w:szCs w:val="22"/>
          <w:lang w:val="en-US"/>
        </w:rPr>
        <w:t>The greatest diversity of skilled researchers is over-represented in part-time or part-year work and are therefore less likely to be engaging in research activities.</w:t>
      </w:r>
      <w:r w:rsidR="00E73DD9">
        <w:rPr>
          <w:rStyle w:val="FootnoteReference"/>
          <w:sz w:val="22"/>
          <w:szCs w:val="22"/>
          <w:lang w:val="en-US"/>
        </w:rPr>
        <w:footnoteReference w:id="7"/>
      </w:r>
      <w:r w:rsidRPr="005F6DA5">
        <w:rPr>
          <w:sz w:val="22"/>
          <w:szCs w:val="22"/>
          <w:lang w:val="en-US"/>
        </w:rPr>
        <w:t xml:space="preserve"> If Canada is to achieve excellence in research and innovation, action is needed to address precarious employment and to ensure that there are more permanent and stable jobs in fundamental science for a more diverse research community.  </w:t>
      </w:r>
    </w:p>
    <w:p w14:paraId="24AA8168" w14:textId="639EEBDF" w:rsidR="00DA6739" w:rsidRDefault="00A52A64" w:rsidP="005F6DA5">
      <w:pPr>
        <w:pStyle w:val="sources"/>
        <w:spacing w:after="300" w:line="240" w:lineRule="exact"/>
        <w:rPr>
          <w:sz w:val="22"/>
          <w:szCs w:val="22"/>
          <w:lang w:val="en-US"/>
        </w:rPr>
      </w:pPr>
      <w:r w:rsidRPr="005F6DA5">
        <w:rPr>
          <w:sz w:val="22"/>
          <w:szCs w:val="22"/>
          <w:lang w:val="en-US"/>
        </w:rPr>
        <w:t xml:space="preserve">CAUT supports the recommendation made in the Bouchard report that the federal research support system continue to advance the implementation of the Tri-Agency </w:t>
      </w:r>
      <w:r w:rsidR="001418B4" w:rsidRPr="001418B4">
        <w:rPr>
          <w:sz w:val="22"/>
          <w:szCs w:val="22"/>
          <w:lang w:val="en-US"/>
        </w:rPr>
        <w:t xml:space="preserve">Equity, </w:t>
      </w:r>
      <w:proofErr w:type="gramStart"/>
      <w:r w:rsidR="001418B4" w:rsidRPr="001418B4">
        <w:rPr>
          <w:sz w:val="22"/>
          <w:szCs w:val="22"/>
          <w:lang w:val="en-US"/>
        </w:rPr>
        <w:t>Diversity</w:t>
      </w:r>
      <w:proofErr w:type="gramEnd"/>
      <w:r w:rsidR="001418B4" w:rsidRPr="001418B4">
        <w:rPr>
          <w:sz w:val="22"/>
          <w:szCs w:val="22"/>
          <w:lang w:val="en-US"/>
        </w:rPr>
        <w:t xml:space="preserve"> and Inclusion</w:t>
      </w:r>
      <w:r w:rsidR="001418B4">
        <w:rPr>
          <w:sz w:val="22"/>
          <w:szCs w:val="22"/>
          <w:lang w:val="en-US"/>
        </w:rPr>
        <w:t xml:space="preserve"> </w:t>
      </w:r>
      <w:r w:rsidRPr="005F6DA5">
        <w:rPr>
          <w:sz w:val="22"/>
          <w:szCs w:val="22"/>
          <w:lang w:val="en-US"/>
        </w:rPr>
        <w:t xml:space="preserve">Action Plan. The Plan aims to foster a more equitable, </w:t>
      </w:r>
      <w:proofErr w:type="gramStart"/>
      <w:r w:rsidRPr="005F6DA5">
        <w:rPr>
          <w:sz w:val="22"/>
          <w:szCs w:val="22"/>
          <w:lang w:val="en-US"/>
        </w:rPr>
        <w:t>diverse</w:t>
      </w:r>
      <w:proofErr w:type="gramEnd"/>
      <w:r w:rsidRPr="005F6DA5">
        <w:rPr>
          <w:sz w:val="22"/>
          <w:szCs w:val="22"/>
          <w:lang w:val="en-US"/>
        </w:rPr>
        <w:t xml:space="preserve"> and inclusive research ecosystem in Canada by addressing systemic barriers that limit the full participation of all talented individuals. </w:t>
      </w:r>
    </w:p>
    <w:p w14:paraId="758010F8" w14:textId="77777777" w:rsidR="00DA6739" w:rsidRDefault="00DA6739">
      <w:pPr>
        <w:rPr>
          <w:rFonts w:eastAsiaTheme="minorHAnsi"/>
          <w:spacing w:val="0"/>
          <w:lang w:eastAsia="en-US"/>
        </w:rPr>
      </w:pPr>
      <w:r>
        <w:br w:type="page"/>
      </w:r>
    </w:p>
    <w:p w14:paraId="12B3F39D" w14:textId="633C4556" w:rsidR="00A52A64" w:rsidRPr="005F6DA5" w:rsidRDefault="00A52A64" w:rsidP="005F6DA5">
      <w:pPr>
        <w:pStyle w:val="sources"/>
        <w:spacing w:after="300" w:line="240" w:lineRule="exact"/>
        <w:rPr>
          <w:sz w:val="22"/>
          <w:szCs w:val="22"/>
          <w:lang w:val="en-US"/>
        </w:rPr>
      </w:pPr>
      <w:r w:rsidRPr="005F6DA5">
        <w:rPr>
          <w:sz w:val="22"/>
          <w:szCs w:val="22"/>
          <w:lang w:val="en-US"/>
        </w:rPr>
        <w:lastRenderedPageBreak/>
        <w:t xml:space="preserve">In addition to an increase to the Tri-Council Agencies core grant programming, CAUT recommends an investment of $26 million to increase equity and diversity in research over the next five years. The funding would include $10 million in Equity, </w:t>
      </w:r>
      <w:proofErr w:type="gramStart"/>
      <w:r w:rsidRPr="005F6DA5">
        <w:rPr>
          <w:sz w:val="22"/>
          <w:szCs w:val="22"/>
          <w:lang w:val="en-US"/>
        </w:rPr>
        <w:t>Diversity</w:t>
      </w:r>
      <w:proofErr w:type="gramEnd"/>
      <w:r w:rsidRPr="005F6DA5">
        <w:rPr>
          <w:sz w:val="22"/>
          <w:szCs w:val="22"/>
          <w:lang w:val="en-US"/>
        </w:rPr>
        <w:t xml:space="preserve"> and Inclusion Institutional Capacity Building grants, $5 million to renew the Dimensions program, and $5 million to repeat the Survey of Post-secondary Faculty and Researchers. </w:t>
      </w:r>
    </w:p>
    <w:p w14:paraId="326D6409" w14:textId="5A85F0D7" w:rsidR="00A52A64" w:rsidRPr="005F6DA5" w:rsidRDefault="00A52A64" w:rsidP="005F6DA5">
      <w:pPr>
        <w:pStyle w:val="sources"/>
        <w:spacing w:after="300" w:line="240" w:lineRule="exact"/>
        <w:rPr>
          <w:sz w:val="22"/>
          <w:szCs w:val="22"/>
          <w:lang w:val="en-US"/>
        </w:rPr>
      </w:pPr>
      <w:r w:rsidRPr="005F6DA5">
        <w:rPr>
          <w:sz w:val="22"/>
          <w:szCs w:val="22"/>
          <w:lang w:val="en-US"/>
        </w:rPr>
        <w:t xml:space="preserve">Lastly, this funding would commit $6 million to the expansion of the University and College Academic Staff System (UCASS) Survey to capture equity data beyond gender, data on contract academic staff, and data from the college sector to help fill information gaps that currently limit our understanding of equity, diversity, and inclusion in the academic workforce. </w:t>
      </w:r>
    </w:p>
    <w:p w14:paraId="4AAA6637" w14:textId="286F25CC" w:rsidR="00000E9E" w:rsidRPr="00506646" w:rsidRDefault="00000E9E" w:rsidP="00000E9E">
      <w:pPr>
        <w:pStyle w:val="Heading3"/>
      </w:pPr>
      <w:r w:rsidRPr="00506646">
        <w:t xml:space="preserve">Recommendation </w:t>
      </w:r>
      <w:r>
        <w:t>4</w:t>
      </w:r>
    </w:p>
    <w:p w14:paraId="7D334080" w14:textId="659971AA" w:rsidR="006F62CA" w:rsidRPr="006D7723" w:rsidRDefault="00A52A64" w:rsidP="005F6DA5">
      <w:pPr>
        <w:pStyle w:val="sources"/>
        <w:spacing w:after="300" w:line="240" w:lineRule="exact"/>
        <w:rPr>
          <w:b/>
          <w:bCs/>
          <w:sz w:val="22"/>
          <w:szCs w:val="22"/>
          <w:lang w:val="en-US"/>
        </w:rPr>
      </w:pPr>
      <w:r w:rsidRPr="006D7723">
        <w:rPr>
          <w:b/>
          <w:bCs/>
          <w:sz w:val="22"/>
          <w:szCs w:val="22"/>
          <w:lang w:val="en-US"/>
        </w:rPr>
        <w:t xml:space="preserve">Invest in better data and concrete commitments to equity, </w:t>
      </w:r>
      <w:proofErr w:type="gramStart"/>
      <w:r w:rsidRPr="006D7723">
        <w:rPr>
          <w:b/>
          <w:bCs/>
          <w:sz w:val="22"/>
          <w:szCs w:val="22"/>
          <w:lang w:val="en-US"/>
        </w:rPr>
        <w:t>diversity</w:t>
      </w:r>
      <w:proofErr w:type="gramEnd"/>
      <w:r w:rsidRPr="006D7723">
        <w:rPr>
          <w:b/>
          <w:bCs/>
          <w:sz w:val="22"/>
          <w:szCs w:val="22"/>
          <w:lang w:val="en-US"/>
        </w:rPr>
        <w:t xml:space="preserve"> and inclusion, starting with $26 million to increase equity and diversity in research over the next five years.</w:t>
      </w:r>
    </w:p>
    <w:p w14:paraId="595C069B" w14:textId="77777777" w:rsidR="00DA6739" w:rsidRDefault="00DA6739" w:rsidP="00540313">
      <w:pPr>
        <w:pStyle w:val="Heading3"/>
        <w:rPr>
          <w:rFonts w:ascii="CRIMSON TEXT" w:eastAsiaTheme="minorHAnsi" w:hAnsi="CRIMSON TEXT" w:cstheme="minorBidi"/>
          <w:b w:val="0"/>
          <w:color w:val="auto"/>
          <w:spacing w:val="0"/>
          <w:sz w:val="22"/>
          <w:szCs w:val="22"/>
          <w:lang w:val="en-US" w:eastAsia="en-US"/>
        </w:rPr>
      </w:pPr>
    </w:p>
    <w:p w14:paraId="4FBA0E56" w14:textId="77777777" w:rsidR="00DA6739" w:rsidRDefault="00DA6739" w:rsidP="00DA6739">
      <w:pPr>
        <w:rPr>
          <w:lang w:eastAsia="en-US"/>
        </w:rPr>
      </w:pPr>
    </w:p>
    <w:p w14:paraId="2FDDCC01" w14:textId="77777777" w:rsidR="00DA6739" w:rsidRDefault="00DA6739" w:rsidP="00DA6739">
      <w:pPr>
        <w:rPr>
          <w:lang w:eastAsia="en-US"/>
        </w:rPr>
      </w:pPr>
    </w:p>
    <w:p w14:paraId="630525CA" w14:textId="77777777" w:rsidR="00DA6739" w:rsidRDefault="00DA6739" w:rsidP="00DA6739">
      <w:pPr>
        <w:rPr>
          <w:lang w:eastAsia="en-US"/>
        </w:rPr>
      </w:pPr>
    </w:p>
    <w:p w14:paraId="083B9ACB" w14:textId="77777777" w:rsidR="00DA6739" w:rsidRDefault="00DA6739" w:rsidP="00DA6739">
      <w:pPr>
        <w:rPr>
          <w:lang w:eastAsia="en-US"/>
        </w:rPr>
      </w:pPr>
    </w:p>
    <w:p w14:paraId="4005304A" w14:textId="77777777" w:rsidR="00DA6739" w:rsidRDefault="00DA6739" w:rsidP="00DA6739">
      <w:pPr>
        <w:rPr>
          <w:lang w:eastAsia="en-US"/>
        </w:rPr>
      </w:pPr>
    </w:p>
    <w:p w14:paraId="69D7E10C" w14:textId="77777777" w:rsidR="00DA6739" w:rsidRDefault="00DA6739" w:rsidP="00DA6739">
      <w:pPr>
        <w:rPr>
          <w:lang w:eastAsia="en-US"/>
        </w:rPr>
      </w:pPr>
    </w:p>
    <w:p w14:paraId="7B64769F" w14:textId="77777777" w:rsidR="00DA6739" w:rsidRDefault="00DA6739" w:rsidP="00DA6739">
      <w:pPr>
        <w:rPr>
          <w:lang w:eastAsia="en-US"/>
        </w:rPr>
      </w:pPr>
    </w:p>
    <w:p w14:paraId="03E9393E" w14:textId="77777777" w:rsidR="00DA6739" w:rsidRDefault="00DA6739" w:rsidP="00DA6739">
      <w:pPr>
        <w:rPr>
          <w:lang w:eastAsia="en-US"/>
        </w:rPr>
      </w:pPr>
    </w:p>
    <w:p w14:paraId="7E60F3A0" w14:textId="77777777" w:rsidR="00DA6739" w:rsidRDefault="00DA6739" w:rsidP="00DA6739">
      <w:pPr>
        <w:rPr>
          <w:lang w:eastAsia="en-US"/>
        </w:rPr>
      </w:pPr>
    </w:p>
    <w:p w14:paraId="0E01F283" w14:textId="77777777" w:rsidR="00DA6739" w:rsidRDefault="00DA6739" w:rsidP="00DA6739">
      <w:pPr>
        <w:rPr>
          <w:lang w:eastAsia="en-US"/>
        </w:rPr>
      </w:pPr>
    </w:p>
    <w:p w14:paraId="3FEADD5B" w14:textId="77777777" w:rsidR="00DA6739" w:rsidRDefault="00DA6739" w:rsidP="00DA6739">
      <w:pPr>
        <w:rPr>
          <w:lang w:eastAsia="en-US"/>
        </w:rPr>
      </w:pPr>
    </w:p>
    <w:p w14:paraId="5A4B1447" w14:textId="77777777" w:rsidR="00DA6739" w:rsidRDefault="00DA6739" w:rsidP="00DA6739">
      <w:pPr>
        <w:rPr>
          <w:lang w:eastAsia="en-US"/>
        </w:rPr>
      </w:pPr>
    </w:p>
    <w:p w14:paraId="2E37326C" w14:textId="77777777" w:rsidR="00DA6739" w:rsidRDefault="00DA6739" w:rsidP="00DA6739">
      <w:pPr>
        <w:rPr>
          <w:lang w:eastAsia="en-US"/>
        </w:rPr>
      </w:pPr>
    </w:p>
    <w:p w14:paraId="17CE18A2" w14:textId="77777777" w:rsidR="00DA6739" w:rsidRDefault="00DA6739" w:rsidP="00DA6739">
      <w:pPr>
        <w:rPr>
          <w:lang w:eastAsia="en-US"/>
        </w:rPr>
      </w:pPr>
    </w:p>
    <w:p w14:paraId="37A575BD" w14:textId="77777777" w:rsidR="00DA6739" w:rsidRDefault="00DA6739" w:rsidP="00DA6739">
      <w:pPr>
        <w:rPr>
          <w:lang w:eastAsia="en-US"/>
        </w:rPr>
      </w:pPr>
    </w:p>
    <w:p w14:paraId="353243DA" w14:textId="77777777" w:rsidR="00DA6739" w:rsidRDefault="00DA6739" w:rsidP="00DA6739">
      <w:pPr>
        <w:rPr>
          <w:lang w:eastAsia="en-US"/>
        </w:rPr>
      </w:pPr>
    </w:p>
    <w:p w14:paraId="16073C31" w14:textId="77777777" w:rsidR="00DA6739" w:rsidRDefault="00DA6739" w:rsidP="00DA6739">
      <w:pPr>
        <w:rPr>
          <w:lang w:eastAsia="en-US"/>
        </w:rPr>
      </w:pPr>
    </w:p>
    <w:p w14:paraId="518E5561" w14:textId="77777777" w:rsidR="00DA6739" w:rsidRPr="00DA6739" w:rsidRDefault="00DA6739" w:rsidP="00DA6739">
      <w:pPr>
        <w:rPr>
          <w:lang w:eastAsia="en-US"/>
        </w:rPr>
      </w:pPr>
    </w:p>
    <w:p w14:paraId="2188715D" w14:textId="734C8375" w:rsidR="00A52A64" w:rsidRPr="00540313" w:rsidRDefault="00A52A64" w:rsidP="00540313">
      <w:pPr>
        <w:pStyle w:val="Heading3"/>
      </w:pPr>
      <w:r w:rsidRPr="00540313">
        <w:t>Summary of Recommendations:</w:t>
      </w:r>
    </w:p>
    <w:p w14:paraId="0A71B2BD" w14:textId="282E2EBA" w:rsidR="00A52A64" w:rsidRPr="00A24BCA" w:rsidRDefault="00A52A64" w:rsidP="004B50FF">
      <w:pPr>
        <w:pStyle w:val="ListParagraph"/>
        <w:widowControl w:val="0"/>
        <w:numPr>
          <w:ilvl w:val="0"/>
          <w:numId w:val="3"/>
        </w:numPr>
        <w:tabs>
          <w:tab w:val="left" w:pos="1035"/>
        </w:tabs>
        <w:autoSpaceDE w:val="0"/>
        <w:autoSpaceDN w:val="0"/>
        <w:spacing w:before="200" w:after="300"/>
        <w:ind w:left="357" w:hanging="357"/>
      </w:pPr>
      <w:r w:rsidRPr="00A24BCA">
        <w:t>Increase the number and value of graduate student scholarships and postdoctoral fellowships by $185 million in 2023 and an additional $55 million per year thereafter.</w:t>
      </w:r>
    </w:p>
    <w:p w14:paraId="46E2A7BE" w14:textId="095D651A" w:rsidR="00A52A64" w:rsidRPr="00A24BCA" w:rsidRDefault="00A52A64" w:rsidP="004B50FF">
      <w:pPr>
        <w:pStyle w:val="ListParagraph"/>
        <w:widowControl w:val="0"/>
        <w:numPr>
          <w:ilvl w:val="0"/>
          <w:numId w:val="3"/>
        </w:numPr>
        <w:tabs>
          <w:tab w:val="left" w:pos="1035"/>
        </w:tabs>
        <w:autoSpaceDE w:val="0"/>
        <w:autoSpaceDN w:val="0"/>
        <w:spacing w:before="200" w:after="300"/>
        <w:ind w:left="357" w:hanging="357"/>
      </w:pPr>
      <w:r w:rsidRPr="00A24BCA">
        <w:t>Increase funding for the research agencies core grant programming by at least ten percent annually for five years.</w:t>
      </w:r>
    </w:p>
    <w:p w14:paraId="004A0EE0" w14:textId="6DF31D1E" w:rsidR="00A52A64" w:rsidRPr="00A24BCA" w:rsidRDefault="00A52A64" w:rsidP="004B50FF">
      <w:pPr>
        <w:pStyle w:val="ListParagraph"/>
        <w:widowControl w:val="0"/>
        <w:numPr>
          <w:ilvl w:val="0"/>
          <w:numId w:val="3"/>
        </w:numPr>
        <w:tabs>
          <w:tab w:val="left" w:pos="1035"/>
        </w:tabs>
        <w:autoSpaceDE w:val="0"/>
        <w:autoSpaceDN w:val="0"/>
        <w:spacing w:before="200" w:after="300"/>
        <w:ind w:left="357" w:hanging="357"/>
      </w:pPr>
      <w:r w:rsidRPr="00A24BCA">
        <w:t>Work with stakeholders to develop a pan-Canadian science and research workforce strategy and expand the University and College Academic Staff System Survey to ensure it is data-driven.</w:t>
      </w:r>
    </w:p>
    <w:p w14:paraId="5FDBD162" w14:textId="5EFC54B6" w:rsidR="008D5F7D" w:rsidRPr="00A24BCA" w:rsidRDefault="00A52A64" w:rsidP="004B50FF">
      <w:pPr>
        <w:pStyle w:val="ListParagraph"/>
        <w:widowControl w:val="0"/>
        <w:numPr>
          <w:ilvl w:val="0"/>
          <w:numId w:val="3"/>
        </w:numPr>
        <w:tabs>
          <w:tab w:val="left" w:pos="1035"/>
        </w:tabs>
        <w:autoSpaceDE w:val="0"/>
        <w:autoSpaceDN w:val="0"/>
        <w:spacing w:before="200" w:after="300"/>
        <w:ind w:left="357" w:hanging="357"/>
      </w:pPr>
      <w:r w:rsidRPr="00A24BCA">
        <w:t xml:space="preserve">Invest in better data and concrete commitments to equity, </w:t>
      </w:r>
      <w:proofErr w:type="gramStart"/>
      <w:r w:rsidRPr="00A24BCA">
        <w:t>diversity</w:t>
      </w:r>
      <w:proofErr w:type="gramEnd"/>
      <w:r w:rsidRPr="00A24BCA">
        <w:t xml:space="preserve"> and inclusion, starting with $26 million to increase equity and diversity in research over the next five years.</w:t>
      </w:r>
    </w:p>
    <w:sectPr w:rsidR="008D5F7D" w:rsidRPr="00A24BCA" w:rsidSect="002E3013">
      <w:type w:val="continuous"/>
      <w:pgSz w:w="12240" w:h="15840" w:code="1"/>
      <w:pgMar w:top="2160" w:right="1080" w:bottom="907" w:left="360" w:header="1440" w:footer="907" w:gutter="720"/>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AFB47" w14:textId="77777777" w:rsidR="00984A33" w:rsidRDefault="00984A33" w:rsidP="00582C3B">
      <w:r>
        <w:separator/>
      </w:r>
    </w:p>
  </w:endnote>
  <w:endnote w:type="continuationSeparator" w:id="0">
    <w:p w14:paraId="4F403211" w14:textId="77777777" w:rsidR="00984A33" w:rsidRDefault="00984A33" w:rsidP="00582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RIMSON TEXT">
    <w:panose1 w:val="02000503000000000000"/>
    <w:charset w:val="4D"/>
    <w:family w:val="auto"/>
    <w:pitch w:val="variable"/>
    <w:sig w:usb0="80000047" w:usb1="40000062" w:usb2="00000000" w:usb3="00000000" w:csb0="00000093" w:csb1="00000000"/>
  </w:font>
  <w:font w:name="Myriad Pro">
    <w:altName w:val="Myriad Pro"/>
    <w:panose1 w:val="020B0503030403020204"/>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yriad Pro Light">
    <w:altName w:val="Myriad Pro Light"/>
    <w:panose1 w:val="020B04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BB5E" w14:textId="77777777" w:rsidR="0095307D" w:rsidRPr="00B15BC2" w:rsidRDefault="0095307D" w:rsidP="003C0F0F">
    <w:pPr>
      <w:pStyle w:val="HeaderFooter"/>
      <w:spacing w:before="240"/>
      <w:rPr>
        <w:color w:val="000000" w:themeColor="text1"/>
      </w:rPr>
    </w:pPr>
    <w:r w:rsidRPr="00E40528">
      <w:rPr>
        <w:color w:val="1C8700"/>
      </w:rPr>
      <w:t>Canadian Association of University Teachers</w:t>
    </w:r>
    <w:r w:rsidRPr="005C52D2">
      <w:tab/>
    </w:r>
    <w:r w:rsidRPr="00B15BC2">
      <w:rPr>
        <w:rStyle w:val="PageNumber"/>
        <w:color w:val="000000" w:themeColor="text1"/>
      </w:rPr>
      <w:fldChar w:fldCharType="begin"/>
    </w:r>
    <w:r w:rsidRPr="00B15BC2">
      <w:rPr>
        <w:rStyle w:val="PageNumber"/>
        <w:color w:val="000000" w:themeColor="text1"/>
      </w:rPr>
      <w:instrText xml:space="preserve"> PAGE </w:instrText>
    </w:r>
    <w:r w:rsidRPr="00B15BC2">
      <w:rPr>
        <w:rStyle w:val="PageNumber"/>
        <w:color w:val="000000" w:themeColor="text1"/>
      </w:rPr>
      <w:fldChar w:fldCharType="separate"/>
    </w:r>
    <w:r w:rsidR="00092A02">
      <w:rPr>
        <w:rStyle w:val="PageNumber"/>
        <w:noProof/>
        <w:color w:val="000000" w:themeColor="text1"/>
      </w:rPr>
      <w:t>2</w:t>
    </w:r>
    <w:r w:rsidRPr="00B15BC2">
      <w:rPr>
        <w:rStyle w:val="PageNumber"/>
        <w:color w:val="000000"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18AF" w14:textId="522318EB" w:rsidR="0095307D" w:rsidRDefault="008F06C6" w:rsidP="008F06C6">
    <w:pPr>
      <w:ind w:left="-1080"/>
    </w:pPr>
    <w:r>
      <w:rPr>
        <w:noProof/>
      </w:rPr>
      <w:drawing>
        <wp:inline distT="0" distB="0" distL="0" distR="0" wp14:anchorId="277FC371" wp14:editId="1899899E">
          <wp:extent cx="7808976" cy="1837944"/>
          <wp:effectExtent l="0" t="0" r="1905" b="3810"/>
          <wp:docPr id="18" name="Picture 18"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cstate="print">
                    <a:extLst>
                      <a:ext uri="{28A0092B-C50C-407E-A947-70E740481C1C}">
                        <a14:useLocalDpi xmlns:a14="http://schemas.microsoft.com/office/drawing/2010/main"/>
                      </a:ext>
                    </a:extLst>
                  </a:blip>
                  <a:stretch>
                    <a:fillRect/>
                  </a:stretch>
                </pic:blipFill>
                <pic:spPr>
                  <a:xfrm>
                    <a:off x="0" y="0"/>
                    <a:ext cx="7808976" cy="18379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70DCB" w14:textId="77777777" w:rsidR="00984A33" w:rsidRPr="00B1481F" w:rsidRDefault="00984A33" w:rsidP="005F531C">
      <w:pPr>
        <w:rPr>
          <w:position w:val="9"/>
        </w:rPr>
      </w:pPr>
      <w:r w:rsidRPr="00B1481F">
        <w:rPr>
          <w:rFonts w:ascii="Arial Narrow" w:hAnsi="Arial Narrow"/>
          <w:spacing w:val="-30"/>
          <w:position w:val="9"/>
          <w:sz w:val="12"/>
        </w:rPr>
        <w:t>—————————————————————</w:t>
      </w:r>
      <w:r w:rsidRPr="00B1481F">
        <w:rPr>
          <w:rFonts w:ascii="Arial Narrow" w:hAnsi="Arial Narrow"/>
          <w:position w:val="9"/>
          <w:sz w:val="12"/>
        </w:rPr>
        <w:t xml:space="preserve">  </w:t>
      </w:r>
    </w:p>
  </w:footnote>
  <w:footnote w:type="continuationSeparator" w:id="0">
    <w:p w14:paraId="7A57581C" w14:textId="77777777" w:rsidR="00984A33" w:rsidRDefault="00984A33" w:rsidP="00582C3B">
      <w:r>
        <w:continuationSeparator/>
      </w:r>
    </w:p>
  </w:footnote>
  <w:footnote w:id="1">
    <w:p w14:paraId="78DEE003" w14:textId="1B643184" w:rsidR="000A3208" w:rsidRPr="00A5191B" w:rsidRDefault="000A3208" w:rsidP="00A5191B">
      <w:pPr>
        <w:pStyle w:val="FootnoteText"/>
        <w:ind w:firstLine="289"/>
        <w:rPr>
          <w:rFonts w:ascii="Myriad Pro Light" w:hAnsi="Myriad Pro Light"/>
          <w:sz w:val="17"/>
          <w:szCs w:val="17"/>
          <w:lang w:val="en-US"/>
        </w:rPr>
      </w:pPr>
      <w:r w:rsidRPr="00A5191B">
        <w:rPr>
          <w:rStyle w:val="FootnoteReference"/>
          <w:rFonts w:ascii="Myriad Pro Light" w:hAnsi="Myriad Pro Light"/>
          <w:sz w:val="17"/>
          <w:szCs w:val="17"/>
        </w:rPr>
        <w:footnoteRef/>
      </w:r>
      <w:r w:rsidRPr="00A5191B">
        <w:rPr>
          <w:rFonts w:ascii="Myriad Pro Light" w:hAnsi="Myriad Pro Light"/>
          <w:sz w:val="17"/>
          <w:szCs w:val="17"/>
        </w:rPr>
        <w:t xml:space="preserve"> </w:t>
      </w:r>
      <w:r w:rsidR="00A61852" w:rsidRPr="00A5191B">
        <w:rPr>
          <w:rFonts w:ascii="Myriad Pro Light" w:hAnsi="Myriad Pro Light"/>
          <w:sz w:val="17"/>
          <w:szCs w:val="17"/>
        </w:rPr>
        <w:t>Treleaven, Sarah. “</w:t>
      </w:r>
      <w:hyperlink r:id="rId1" w:history="1">
        <w:r w:rsidR="00A61852" w:rsidRPr="005C0974">
          <w:rPr>
            <w:rStyle w:val="Hyperlink"/>
            <w:rFonts w:ascii="Myriad Pro Light" w:hAnsi="Myriad Pro Light" w:cs="Calibri"/>
            <w:sz w:val="17"/>
            <w:szCs w:val="17"/>
          </w:rPr>
          <w:t>Inside the mental health crisis at Canadian universities</w:t>
        </w:r>
      </w:hyperlink>
      <w:r w:rsidR="00A61852" w:rsidRPr="00A5191B">
        <w:rPr>
          <w:rFonts w:ascii="Myriad Pro Light" w:hAnsi="Myriad Pro Light"/>
          <w:sz w:val="17"/>
          <w:szCs w:val="17"/>
        </w:rPr>
        <w:t xml:space="preserve">”, Nov 2022. “Supporting Graduate Student Mental Health”, </w:t>
      </w:r>
      <w:r w:rsidR="00A61852" w:rsidRPr="00A5191B">
        <w:rPr>
          <w:rFonts w:ascii="Myriad Pro Light" w:hAnsi="Myriad Pro Light"/>
          <w:i/>
          <w:iCs/>
          <w:sz w:val="17"/>
          <w:szCs w:val="17"/>
        </w:rPr>
        <w:t>Canadian Federation of Students – Ontario, 2017</w:t>
      </w:r>
      <w:r w:rsidR="00A61852" w:rsidRPr="00A5191B">
        <w:rPr>
          <w:rFonts w:ascii="Myriad Pro Light" w:hAnsi="Myriad Pro Light"/>
          <w:sz w:val="17"/>
          <w:szCs w:val="17"/>
        </w:rPr>
        <w:t xml:space="preserve">. Accessed 30 May 2023. </w:t>
      </w:r>
      <w:hyperlink r:id="rId2">
        <w:r w:rsidR="00A61852" w:rsidRPr="00A5191B">
          <w:rPr>
            <w:rStyle w:val="Hyperlink"/>
            <w:rFonts w:ascii="Myriad Pro Light" w:hAnsi="Myriad Pro Light"/>
            <w:sz w:val="17"/>
            <w:szCs w:val="17"/>
          </w:rPr>
          <w:t>Factsheet-GraduateMentalHealth.pdf (cfsontario.ca)</w:t>
        </w:r>
      </w:hyperlink>
    </w:p>
  </w:footnote>
  <w:footnote w:id="2">
    <w:p w14:paraId="0A2856D4" w14:textId="2B3A0F44" w:rsidR="008C442C" w:rsidRPr="008C442C" w:rsidRDefault="008C442C" w:rsidP="00A5191B">
      <w:pPr>
        <w:pStyle w:val="FootnoteText"/>
        <w:ind w:firstLine="289"/>
        <w:rPr>
          <w:lang w:val="en-US"/>
        </w:rPr>
      </w:pPr>
      <w:r w:rsidRPr="00A5191B">
        <w:rPr>
          <w:rStyle w:val="FootnoteReference"/>
          <w:rFonts w:ascii="Myriad Pro Light" w:hAnsi="Myriad Pro Light"/>
          <w:sz w:val="17"/>
          <w:szCs w:val="17"/>
        </w:rPr>
        <w:footnoteRef/>
      </w:r>
      <w:r w:rsidRPr="00A5191B">
        <w:rPr>
          <w:rFonts w:ascii="Myriad Pro Light" w:hAnsi="Myriad Pro Light"/>
          <w:sz w:val="17"/>
          <w:szCs w:val="17"/>
        </w:rPr>
        <w:t xml:space="preserve"> </w:t>
      </w:r>
      <w:r w:rsidR="001D2DD3" w:rsidRPr="00A5191B">
        <w:rPr>
          <w:rFonts w:ascii="Myriad Pro Light" w:hAnsi="Myriad Pro Light"/>
          <w:sz w:val="17"/>
          <w:szCs w:val="17"/>
        </w:rPr>
        <w:t xml:space="preserve">OECD (2022), Education </w:t>
      </w:r>
      <w:proofErr w:type="gramStart"/>
      <w:r w:rsidR="001D2DD3" w:rsidRPr="00A5191B">
        <w:rPr>
          <w:rFonts w:ascii="Myriad Pro Light" w:hAnsi="Myriad Pro Light"/>
          <w:sz w:val="17"/>
          <w:szCs w:val="17"/>
        </w:rPr>
        <w:t>at a Glance</w:t>
      </w:r>
      <w:proofErr w:type="gramEnd"/>
      <w:r w:rsidR="001D2DD3" w:rsidRPr="00A5191B">
        <w:rPr>
          <w:rFonts w:ascii="Myriad Pro Light" w:hAnsi="Myriad Pro Light"/>
          <w:sz w:val="17"/>
          <w:szCs w:val="17"/>
        </w:rPr>
        <w:t xml:space="preserve"> 2022: OECD Indicators, OECD Publishing, Paris.</w:t>
      </w:r>
    </w:p>
  </w:footnote>
  <w:footnote w:id="3">
    <w:p w14:paraId="372B7A7A" w14:textId="61C75636" w:rsidR="003E00D3" w:rsidRPr="00BF7D39" w:rsidRDefault="003E00D3" w:rsidP="00A5191B">
      <w:pPr>
        <w:pStyle w:val="FootnoteText"/>
        <w:ind w:left="289" w:hanging="289"/>
        <w:rPr>
          <w:rFonts w:ascii="Myriad Pro Light" w:hAnsi="Myriad Pro Light"/>
          <w:sz w:val="17"/>
          <w:szCs w:val="17"/>
          <w:lang w:val="en-US"/>
        </w:rPr>
      </w:pPr>
      <w:r w:rsidRPr="00BF7D39">
        <w:rPr>
          <w:rStyle w:val="FootnoteReference"/>
          <w:rFonts w:ascii="Myriad Pro Light" w:hAnsi="Myriad Pro Light"/>
          <w:sz w:val="17"/>
          <w:szCs w:val="17"/>
        </w:rPr>
        <w:footnoteRef/>
      </w:r>
      <w:r w:rsidRPr="00BF7D39">
        <w:rPr>
          <w:rFonts w:ascii="Myriad Pro Light" w:hAnsi="Myriad Pro Light"/>
          <w:sz w:val="17"/>
          <w:szCs w:val="17"/>
        </w:rPr>
        <w:t xml:space="preserve"> </w:t>
      </w:r>
      <w:r w:rsidR="004349E4" w:rsidRPr="00BF7D39">
        <w:rPr>
          <w:rFonts w:ascii="Myriad Pro Light" w:eastAsiaTheme="minorEastAsia" w:hAnsi="Myriad Pro Light"/>
          <w:color w:val="000000" w:themeColor="text1"/>
          <w:sz w:val="17"/>
          <w:szCs w:val="17"/>
        </w:rPr>
        <w:t>Council of Canadian Academies</w:t>
      </w:r>
      <w:r w:rsidR="00EB1D88">
        <w:rPr>
          <w:rFonts w:ascii="Myriad Pro Light" w:eastAsiaTheme="minorEastAsia" w:hAnsi="Myriad Pro Light"/>
          <w:color w:val="000000" w:themeColor="text1"/>
          <w:sz w:val="17"/>
          <w:szCs w:val="17"/>
        </w:rPr>
        <w:t>.</w:t>
      </w:r>
      <w:r w:rsidR="004349E4" w:rsidRPr="00BF7D39">
        <w:rPr>
          <w:rFonts w:ascii="Myriad Pro Light" w:eastAsiaTheme="minorEastAsia" w:hAnsi="Myriad Pro Light"/>
          <w:color w:val="000000" w:themeColor="text1"/>
          <w:sz w:val="17"/>
          <w:szCs w:val="17"/>
        </w:rPr>
        <w:t xml:space="preserve"> (2021.) Powering Discovery: The Expert Panel on International Practices for Funding Natural Sciences and Engineering Research.</w:t>
      </w:r>
    </w:p>
  </w:footnote>
  <w:footnote w:id="4">
    <w:p w14:paraId="58321FD6" w14:textId="67F57131" w:rsidR="004349E4" w:rsidRPr="00BF7D39" w:rsidRDefault="004349E4" w:rsidP="00A5191B">
      <w:pPr>
        <w:pStyle w:val="FootnoteText"/>
        <w:ind w:left="289" w:hanging="289"/>
        <w:rPr>
          <w:rFonts w:ascii="Myriad Pro Light" w:hAnsi="Myriad Pro Light"/>
          <w:sz w:val="17"/>
          <w:szCs w:val="17"/>
          <w:lang w:val="en-US"/>
        </w:rPr>
      </w:pPr>
      <w:r w:rsidRPr="00BF7D39">
        <w:rPr>
          <w:rStyle w:val="FootnoteReference"/>
          <w:rFonts w:ascii="Myriad Pro Light" w:hAnsi="Myriad Pro Light"/>
          <w:sz w:val="17"/>
          <w:szCs w:val="17"/>
        </w:rPr>
        <w:footnoteRef/>
      </w:r>
      <w:r w:rsidRPr="00BF7D39">
        <w:rPr>
          <w:rFonts w:ascii="Myriad Pro Light" w:hAnsi="Myriad Pro Light"/>
          <w:sz w:val="17"/>
          <w:szCs w:val="17"/>
        </w:rPr>
        <w:t xml:space="preserve"> </w:t>
      </w:r>
      <w:r w:rsidR="00996A5B" w:rsidRPr="00BF7D39">
        <w:rPr>
          <w:rFonts w:ascii="Myriad Pro Light" w:eastAsiaTheme="minorEastAsia" w:hAnsi="Myriad Pro Light"/>
          <w:color w:val="333333"/>
          <w:sz w:val="17"/>
          <w:szCs w:val="17"/>
        </w:rPr>
        <w:t xml:space="preserve">Statistics Canada. </w:t>
      </w:r>
      <w:hyperlink r:id="rId3">
        <w:r w:rsidR="00996A5B" w:rsidRPr="00BF7D39">
          <w:rPr>
            <w:rStyle w:val="Hyperlink"/>
            <w:rFonts w:ascii="Myriad Pro Light" w:eastAsiaTheme="minorEastAsia" w:hAnsi="Myriad Pro Light"/>
            <w:sz w:val="17"/>
            <w:szCs w:val="17"/>
          </w:rPr>
          <w:t>Table 37-10-0144-01 Number and proportion of full-time teaching staff at Canadian universities by academic rank and gender</w:t>
        </w:r>
      </w:hyperlink>
    </w:p>
  </w:footnote>
  <w:footnote w:id="5">
    <w:p w14:paraId="70281DB7" w14:textId="7430405B" w:rsidR="00996A5B" w:rsidRPr="00BF7D39" w:rsidRDefault="00996A5B" w:rsidP="00A5191B">
      <w:pPr>
        <w:pStyle w:val="FootnoteText"/>
        <w:ind w:left="289" w:hanging="289"/>
        <w:rPr>
          <w:rFonts w:ascii="Myriad Pro Light" w:hAnsi="Myriad Pro Light"/>
          <w:sz w:val="17"/>
          <w:szCs w:val="17"/>
          <w:lang w:val="en-US"/>
        </w:rPr>
      </w:pPr>
      <w:r w:rsidRPr="00BF7D39">
        <w:rPr>
          <w:rStyle w:val="FootnoteReference"/>
          <w:rFonts w:ascii="Myriad Pro Light" w:hAnsi="Myriad Pro Light"/>
          <w:sz w:val="17"/>
          <w:szCs w:val="17"/>
        </w:rPr>
        <w:footnoteRef/>
      </w:r>
      <w:r w:rsidRPr="00BF7D39">
        <w:rPr>
          <w:rFonts w:ascii="Myriad Pro Light" w:hAnsi="Myriad Pro Light"/>
          <w:sz w:val="17"/>
          <w:szCs w:val="17"/>
        </w:rPr>
        <w:t xml:space="preserve"> </w:t>
      </w:r>
      <w:r w:rsidR="002750A6" w:rsidRPr="00BF7D39">
        <w:rPr>
          <w:rFonts w:ascii="Myriad Pro Light" w:eastAsiaTheme="minorEastAsia" w:hAnsi="Myriad Pro Light"/>
          <w:color w:val="000000" w:themeColor="text1"/>
          <w:sz w:val="17"/>
          <w:szCs w:val="17"/>
        </w:rPr>
        <w:t>Sylvain Charbonneau. Vice-president of research and innovation at the University of Ottawa, (2021) Oral Testimony. House of Commons Committee on Science and Research, February 10.</w:t>
      </w:r>
    </w:p>
  </w:footnote>
  <w:footnote w:id="6">
    <w:p w14:paraId="397CABDF" w14:textId="5C9E5972" w:rsidR="002750A6" w:rsidRPr="00BF7D39" w:rsidRDefault="002750A6" w:rsidP="00A5191B">
      <w:pPr>
        <w:pStyle w:val="FootnoteText"/>
        <w:ind w:left="289" w:hanging="289"/>
        <w:rPr>
          <w:rFonts w:ascii="Myriad Pro Light" w:hAnsi="Myriad Pro Light"/>
          <w:sz w:val="17"/>
          <w:szCs w:val="17"/>
          <w:lang w:val="en-US"/>
        </w:rPr>
      </w:pPr>
      <w:r w:rsidRPr="00BF7D39">
        <w:rPr>
          <w:rStyle w:val="FootnoteReference"/>
          <w:rFonts w:ascii="Myriad Pro Light" w:hAnsi="Myriad Pro Light"/>
          <w:sz w:val="17"/>
          <w:szCs w:val="17"/>
        </w:rPr>
        <w:footnoteRef/>
      </w:r>
      <w:r w:rsidRPr="00BF7D39">
        <w:rPr>
          <w:rFonts w:ascii="Myriad Pro Light" w:hAnsi="Myriad Pro Light"/>
          <w:sz w:val="17"/>
          <w:szCs w:val="17"/>
        </w:rPr>
        <w:t xml:space="preserve"> </w:t>
      </w:r>
      <w:r w:rsidR="00E73DD9" w:rsidRPr="00BF7D39">
        <w:rPr>
          <w:rFonts w:ascii="Myriad Pro Light" w:eastAsiaTheme="minorEastAsia" w:hAnsi="Myriad Pro Light"/>
          <w:color w:val="000000" w:themeColor="text1"/>
          <w:sz w:val="17"/>
          <w:szCs w:val="17"/>
        </w:rPr>
        <w:t>The Canadian Association of University Teachers. (2018). Underrepresented and Underpaid: Diversity and Equity Among Canada’s Post-Secondary Teachers.</w:t>
      </w:r>
    </w:p>
  </w:footnote>
  <w:footnote w:id="7">
    <w:p w14:paraId="5BDCEF52" w14:textId="4A97F133" w:rsidR="00E73DD9" w:rsidRPr="00E73DD9" w:rsidRDefault="00E73DD9" w:rsidP="00A5191B">
      <w:pPr>
        <w:pStyle w:val="FootnoteText"/>
        <w:ind w:left="289" w:hanging="289"/>
        <w:rPr>
          <w:lang w:val="en-US"/>
        </w:rPr>
      </w:pPr>
      <w:r w:rsidRPr="00BF7D39">
        <w:rPr>
          <w:rStyle w:val="FootnoteReference"/>
          <w:rFonts w:ascii="Myriad Pro Light" w:hAnsi="Myriad Pro Light"/>
          <w:sz w:val="17"/>
          <w:szCs w:val="17"/>
        </w:rPr>
        <w:footnoteRef/>
      </w:r>
      <w:r w:rsidRPr="00BF7D39">
        <w:rPr>
          <w:rFonts w:ascii="Myriad Pro Light" w:hAnsi="Myriad Pro Light"/>
          <w:sz w:val="17"/>
          <w:szCs w:val="17"/>
        </w:rPr>
        <w:t xml:space="preserve"> </w:t>
      </w:r>
      <w:r w:rsidR="0084089C" w:rsidRPr="0084089C">
        <w:rPr>
          <w:rFonts w:ascii="Myriad Pro Light" w:eastAsiaTheme="minorEastAsia" w:hAnsi="Myriad Pro Light"/>
          <w:color w:val="000000" w:themeColor="text1"/>
          <w:sz w:val="17"/>
          <w:szCs w:val="17"/>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558BF" w14:textId="084975A5" w:rsidR="0095307D" w:rsidRPr="003C0F0F" w:rsidRDefault="00905A51" w:rsidP="003C0F0F">
    <w:pPr>
      <w:pStyle w:val="HeaderFooter"/>
      <w:tabs>
        <w:tab w:val="clear" w:pos="10080"/>
        <w:tab w:val="right" w:pos="9990"/>
      </w:tabs>
      <w:spacing w:after="240"/>
      <w:rPr>
        <w:color w:val="808080"/>
        <w:lang w:val="en-CA"/>
      </w:rPr>
    </w:pPr>
    <w:r w:rsidRPr="00905A51">
      <w:rPr>
        <w:caps/>
        <w:color w:val="808080"/>
      </w:rPr>
      <w:t>Brief to the Standing Committee on Science and Research</w:t>
    </w:r>
    <w:r w:rsidR="0095307D">
      <w:rPr>
        <w:color w:val="808080"/>
        <w:lang w:val="en-CA"/>
      </w:rPr>
      <w:tab/>
    </w:r>
    <w:r w:rsidR="00A811F6">
      <w:rPr>
        <w:color w:val="808080"/>
      </w:rPr>
      <w:t>JUNE</w:t>
    </w:r>
    <w:r w:rsidR="00FD6F4D">
      <w:rPr>
        <w:color w:val="808080"/>
      </w:rPr>
      <w:t xml:space="preserve"> </w:t>
    </w:r>
    <w:r w:rsidR="00A87549">
      <w:rPr>
        <w:color w:val="808080"/>
      </w:rPr>
      <w:t>202</w:t>
    </w:r>
    <w:r w:rsidR="00FD6F4D">
      <w:rPr>
        <w:color w:val="808080"/>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FA3DB" w14:textId="5DB0FAA0" w:rsidR="0095307D" w:rsidRDefault="00DE3FBD" w:rsidP="00DE3FBD">
    <w:pPr>
      <w:ind w:left="-1080"/>
    </w:pPr>
    <w:r>
      <w:rPr>
        <w:noProof/>
      </w:rPr>
      <w:drawing>
        <wp:inline distT="0" distB="0" distL="0" distR="0" wp14:anchorId="698BC44F" wp14:editId="6A90804E">
          <wp:extent cx="7798435" cy="2733675"/>
          <wp:effectExtent l="0" t="0" r="0" b="0"/>
          <wp:docPr id="17" name="Picture 17"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a:ext>
                    </a:extLst>
                  </a:blip>
                  <a:srcRect l="-244" t="1040" r="244" b="-379"/>
                  <a:stretch/>
                </pic:blipFill>
                <pic:spPr bwMode="auto">
                  <a:xfrm>
                    <a:off x="0" y="0"/>
                    <a:ext cx="7799832" cy="273416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263E7"/>
    <w:multiLevelType w:val="multilevel"/>
    <w:tmpl w:val="04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F533AA6"/>
    <w:multiLevelType w:val="hybridMultilevel"/>
    <w:tmpl w:val="616CCE62"/>
    <w:lvl w:ilvl="0" w:tplc="73D8A3F4">
      <w:numFmt w:val="bullet"/>
      <w:lvlText w:val=""/>
      <w:lvlJc w:val="left"/>
      <w:pPr>
        <w:ind w:left="360" w:hanging="360"/>
      </w:pPr>
      <w:rPr>
        <w:rFonts w:ascii="Wingdings" w:eastAsia="Wingdings" w:hAnsi="Wingdings" w:cs="Wingdings" w:hint="default"/>
        <w:color w:val="1C8600"/>
        <w:w w:val="100"/>
        <w:sz w:val="22"/>
        <w:szCs w:val="22"/>
        <w:lang w:val="en-CA" w:eastAsia="en-CA" w:bidi="en-CA"/>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65D32AD1"/>
    <w:multiLevelType w:val="hybridMultilevel"/>
    <w:tmpl w:val="3BB6220E"/>
    <w:lvl w:ilvl="0" w:tplc="F7D8C71E">
      <w:start w:val="1"/>
      <w:numFmt w:val="bullet"/>
      <w:pStyle w:val="BulletParagraph"/>
      <w:lvlText w:val=""/>
      <w:lvlJc w:val="left"/>
      <w:pPr>
        <w:ind w:left="360" w:hanging="360"/>
      </w:pPr>
      <w:rPr>
        <w:rFonts w:ascii="Wingdings" w:hAnsi="Wingdings" w:hint="default"/>
        <w:color w:val="1C87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181220">
    <w:abstractNumId w:val="2"/>
  </w:num>
  <w:num w:numId="2" w16cid:durableId="293411063">
    <w:abstractNumId w:val="0"/>
  </w:num>
  <w:num w:numId="3" w16cid:durableId="45202142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grammar="clean"/>
  <w:stylePaneFormatFilter w:val="1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0"/>
  <w:defaultTabStop w:val="720"/>
  <w:defaultTableStyle w:val="CAUT"/>
  <w:drawingGridHorizontalSpacing w:val="187"/>
  <w:drawingGridVerticalSpacing w:val="187"/>
  <w:displayHorizontalDrawingGridEvery w:val="2"/>
  <w:displayVerticalDrawingGridEvery w:val="2"/>
  <w:doNotUseMarginsForDrawingGridOrigin/>
  <w:drawingGridHorizontalOrigin w:val="1080"/>
  <w:drawingGridVerticalOrigin w:val="2160"/>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837"/>
    <w:rsid w:val="000008D1"/>
    <w:rsid w:val="00000E9E"/>
    <w:rsid w:val="000056AA"/>
    <w:rsid w:val="00006042"/>
    <w:rsid w:val="00020C44"/>
    <w:rsid w:val="00023B13"/>
    <w:rsid w:val="00026F86"/>
    <w:rsid w:val="000274C4"/>
    <w:rsid w:val="00030566"/>
    <w:rsid w:val="00032087"/>
    <w:rsid w:val="00033635"/>
    <w:rsid w:val="00036D76"/>
    <w:rsid w:val="000414F6"/>
    <w:rsid w:val="000455D3"/>
    <w:rsid w:val="000460D7"/>
    <w:rsid w:val="00051480"/>
    <w:rsid w:val="00052D54"/>
    <w:rsid w:val="00057D95"/>
    <w:rsid w:val="0006723D"/>
    <w:rsid w:val="00070FF5"/>
    <w:rsid w:val="00084BF5"/>
    <w:rsid w:val="000900B8"/>
    <w:rsid w:val="00092A02"/>
    <w:rsid w:val="00093B2B"/>
    <w:rsid w:val="00094496"/>
    <w:rsid w:val="00095058"/>
    <w:rsid w:val="00095CC4"/>
    <w:rsid w:val="00096349"/>
    <w:rsid w:val="000A046F"/>
    <w:rsid w:val="000A050C"/>
    <w:rsid w:val="000A3208"/>
    <w:rsid w:val="000A3909"/>
    <w:rsid w:val="000A691C"/>
    <w:rsid w:val="000B17D2"/>
    <w:rsid w:val="000B522B"/>
    <w:rsid w:val="000C496D"/>
    <w:rsid w:val="000C6747"/>
    <w:rsid w:val="000C771A"/>
    <w:rsid w:val="000D38CD"/>
    <w:rsid w:val="000D3A0F"/>
    <w:rsid w:val="000D3AA7"/>
    <w:rsid w:val="000D74EA"/>
    <w:rsid w:val="000E011A"/>
    <w:rsid w:val="000E7205"/>
    <w:rsid w:val="00104916"/>
    <w:rsid w:val="00112DBE"/>
    <w:rsid w:val="00132879"/>
    <w:rsid w:val="001336AC"/>
    <w:rsid w:val="00133B29"/>
    <w:rsid w:val="001367D1"/>
    <w:rsid w:val="001418B4"/>
    <w:rsid w:val="00141A4C"/>
    <w:rsid w:val="0014288D"/>
    <w:rsid w:val="00146E8B"/>
    <w:rsid w:val="001529F6"/>
    <w:rsid w:val="00153CD0"/>
    <w:rsid w:val="001558AE"/>
    <w:rsid w:val="00163EF3"/>
    <w:rsid w:val="00164CC3"/>
    <w:rsid w:val="00166CD5"/>
    <w:rsid w:val="0016759A"/>
    <w:rsid w:val="001709C5"/>
    <w:rsid w:val="001734C0"/>
    <w:rsid w:val="00173591"/>
    <w:rsid w:val="00177D85"/>
    <w:rsid w:val="00180915"/>
    <w:rsid w:val="00186510"/>
    <w:rsid w:val="0019183C"/>
    <w:rsid w:val="001926FA"/>
    <w:rsid w:val="001A1067"/>
    <w:rsid w:val="001A3323"/>
    <w:rsid w:val="001A4F2C"/>
    <w:rsid w:val="001A6404"/>
    <w:rsid w:val="001B0649"/>
    <w:rsid w:val="001B1F22"/>
    <w:rsid w:val="001B7014"/>
    <w:rsid w:val="001C0DF8"/>
    <w:rsid w:val="001C4448"/>
    <w:rsid w:val="001D024B"/>
    <w:rsid w:val="001D2DD3"/>
    <w:rsid w:val="001E0C62"/>
    <w:rsid w:val="001E1C0B"/>
    <w:rsid w:val="001E4173"/>
    <w:rsid w:val="001E5110"/>
    <w:rsid w:val="001F106C"/>
    <w:rsid w:val="001F19CD"/>
    <w:rsid w:val="001F2AA9"/>
    <w:rsid w:val="001F461D"/>
    <w:rsid w:val="001F5708"/>
    <w:rsid w:val="001F60E9"/>
    <w:rsid w:val="001F72F6"/>
    <w:rsid w:val="00201E01"/>
    <w:rsid w:val="00201EA5"/>
    <w:rsid w:val="00202315"/>
    <w:rsid w:val="00203B17"/>
    <w:rsid w:val="00204978"/>
    <w:rsid w:val="00206624"/>
    <w:rsid w:val="002153F9"/>
    <w:rsid w:val="00217A1E"/>
    <w:rsid w:val="00223108"/>
    <w:rsid w:val="00231D23"/>
    <w:rsid w:val="00233230"/>
    <w:rsid w:val="00235890"/>
    <w:rsid w:val="00235D87"/>
    <w:rsid w:val="00241CCA"/>
    <w:rsid w:val="00246D76"/>
    <w:rsid w:val="00246E69"/>
    <w:rsid w:val="00247351"/>
    <w:rsid w:val="002478E2"/>
    <w:rsid w:val="002532C6"/>
    <w:rsid w:val="0025710F"/>
    <w:rsid w:val="002600B9"/>
    <w:rsid w:val="00262E7A"/>
    <w:rsid w:val="00271D74"/>
    <w:rsid w:val="0027356A"/>
    <w:rsid w:val="002750A6"/>
    <w:rsid w:val="002806AA"/>
    <w:rsid w:val="00282227"/>
    <w:rsid w:val="002835ED"/>
    <w:rsid w:val="002840EC"/>
    <w:rsid w:val="00284279"/>
    <w:rsid w:val="002842BB"/>
    <w:rsid w:val="002861BF"/>
    <w:rsid w:val="002900DF"/>
    <w:rsid w:val="0029446B"/>
    <w:rsid w:val="002A53FC"/>
    <w:rsid w:val="002A5BC3"/>
    <w:rsid w:val="002B221A"/>
    <w:rsid w:val="002B7A75"/>
    <w:rsid w:val="002C2634"/>
    <w:rsid w:val="002C74DC"/>
    <w:rsid w:val="002C7825"/>
    <w:rsid w:val="002D22F4"/>
    <w:rsid w:val="002D407E"/>
    <w:rsid w:val="002D46AC"/>
    <w:rsid w:val="002E3013"/>
    <w:rsid w:val="002E3E2C"/>
    <w:rsid w:val="002E4CEA"/>
    <w:rsid w:val="002E5F0F"/>
    <w:rsid w:val="002F3B72"/>
    <w:rsid w:val="0030061B"/>
    <w:rsid w:val="003007E3"/>
    <w:rsid w:val="00305D5F"/>
    <w:rsid w:val="00305E5C"/>
    <w:rsid w:val="003101A0"/>
    <w:rsid w:val="00310865"/>
    <w:rsid w:val="00311EE3"/>
    <w:rsid w:val="003139AF"/>
    <w:rsid w:val="00315FA6"/>
    <w:rsid w:val="00323DE3"/>
    <w:rsid w:val="003247AF"/>
    <w:rsid w:val="00326CB5"/>
    <w:rsid w:val="003311C5"/>
    <w:rsid w:val="0033281E"/>
    <w:rsid w:val="00332987"/>
    <w:rsid w:val="00333623"/>
    <w:rsid w:val="00335CE4"/>
    <w:rsid w:val="00337218"/>
    <w:rsid w:val="00337F7F"/>
    <w:rsid w:val="0034062D"/>
    <w:rsid w:val="00340E8C"/>
    <w:rsid w:val="00341A64"/>
    <w:rsid w:val="00342012"/>
    <w:rsid w:val="0034757E"/>
    <w:rsid w:val="0035476E"/>
    <w:rsid w:val="00356852"/>
    <w:rsid w:val="0035776B"/>
    <w:rsid w:val="003601F4"/>
    <w:rsid w:val="0036265A"/>
    <w:rsid w:val="00364EDC"/>
    <w:rsid w:val="00365C6C"/>
    <w:rsid w:val="00376A2D"/>
    <w:rsid w:val="00376FDF"/>
    <w:rsid w:val="00382969"/>
    <w:rsid w:val="003840B6"/>
    <w:rsid w:val="00384EDB"/>
    <w:rsid w:val="003867DB"/>
    <w:rsid w:val="00387066"/>
    <w:rsid w:val="003952C0"/>
    <w:rsid w:val="00397525"/>
    <w:rsid w:val="003A1754"/>
    <w:rsid w:val="003A7C20"/>
    <w:rsid w:val="003B0EA3"/>
    <w:rsid w:val="003B494C"/>
    <w:rsid w:val="003B5BCD"/>
    <w:rsid w:val="003B61EE"/>
    <w:rsid w:val="003B7EC1"/>
    <w:rsid w:val="003C0F0F"/>
    <w:rsid w:val="003C3316"/>
    <w:rsid w:val="003C44D6"/>
    <w:rsid w:val="003D00F5"/>
    <w:rsid w:val="003E00D3"/>
    <w:rsid w:val="003E2BE6"/>
    <w:rsid w:val="003E4A38"/>
    <w:rsid w:val="003E78A0"/>
    <w:rsid w:val="003E7A73"/>
    <w:rsid w:val="003F0177"/>
    <w:rsid w:val="003F614C"/>
    <w:rsid w:val="00402653"/>
    <w:rsid w:val="00405E10"/>
    <w:rsid w:val="0041482A"/>
    <w:rsid w:val="00422B5A"/>
    <w:rsid w:val="0042594F"/>
    <w:rsid w:val="00431D48"/>
    <w:rsid w:val="004326CF"/>
    <w:rsid w:val="004349E4"/>
    <w:rsid w:val="00435F8A"/>
    <w:rsid w:val="00441654"/>
    <w:rsid w:val="00445520"/>
    <w:rsid w:val="004463D5"/>
    <w:rsid w:val="004474A6"/>
    <w:rsid w:val="00453443"/>
    <w:rsid w:val="00453B51"/>
    <w:rsid w:val="00455704"/>
    <w:rsid w:val="00455F63"/>
    <w:rsid w:val="00457A8F"/>
    <w:rsid w:val="004648C7"/>
    <w:rsid w:val="00465ACB"/>
    <w:rsid w:val="004719DF"/>
    <w:rsid w:val="0047681A"/>
    <w:rsid w:val="004825CF"/>
    <w:rsid w:val="004850BC"/>
    <w:rsid w:val="00487726"/>
    <w:rsid w:val="004963FC"/>
    <w:rsid w:val="00497D02"/>
    <w:rsid w:val="004A14FE"/>
    <w:rsid w:val="004B1860"/>
    <w:rsid w:val="004B1F81"/>
    <w:rsid w:val="004B4E72"/>
    <w:rsid w:val="004B50FF"/>
    <w:rsid w:val="004C045D"/>
    <w:rsid w:val="004C24C5"/>
    <w:rsid w:val="004C302D"/>
    <w:rsid w:val="004C339F"/>
    <w:rsid w:val="004C5B02"/>
    <w:rsid w:val="004C7669"/>
    <w:rsid w:val="004D1917"/>
    <w:rsid w:val="004E1528"/>
    <w:rsid w:val="004E2F40"/>
    <w:rsid w:val="004E509C"/>
    <w:rsid w:val="004E54E6"/>
    <w:rsid w:val="004E663B"/>
    <w:rsid w:val="004F2C37"/>
    <w:rsid w:val="004F451A"/>
    <w:rsid w:val="004F753F"/>
    <w:rsid w:val="00502A94"/>
    <w:rsid w:val="00504FA2"/>
    <w:rsid w:val="005057DA"/>
    <w:rsid w:val="00505A1B"/>
    <w:rsid w:val="005065D4"/>
    <w:rsid w:val="00506646"/>
    <w:rsid w:val="00507B6A"/>
    <w:rsid w:val="00513AB4"/>
    <w:rsid w:val="00513F5B"/>
    <w:rsid w:val="00514062"/>
    <w:rsid w:val="00523506"/>
    <w:rsid w:val="00524EB5"/>
    <w:rsid w:val="005306A9"/>
    <w:rsid w:val="00532F58"/>
    <w:rsid w:val="00533142"/>
    <w:rsid w:val="00534687"/>
    <w:rsid w:val="00540313"/>
    <w:rsid w:val="00540B81"/>
    <w:rsid w:val="005428FE"/>
    <w:rsid w:val="00555179"/>
    <w:rsid w:val="005551AC"/>
    <w:rsid w:val="00562A6F"/>
    <w:rsid w:val="00565BC7"/>
    <w:rsid w:val="0057012C"/>
    <w:rsid w:val="00571836"/>
    <w:rsid w:val="005741CC"/>
    <w:rsid w:val="00575575"/>
    <w:rsid w:val="00582C3B"/>
    <w:rsid w:val="00583D4E"/>
    <w:rsid w:val="00583DF4"/>
    <w:rsid w:val="00586907"/>
    <w:rsid w:val="00586AFE"/>
    <w:rsid w:val="00592E8D"/>
    <w:rsid w:val="00593AD3"/>
    <w:rsid w:val="00594270"/>
    <w:rsid w:val="005A1047"/>
    <w:rsid w:val="005A431F"/>
    <w:rsid w:val="005A53B6"/>
    <w:rsid w:val="005A57B8"/>
    <w:rsid w:val="005B0386"/>
    <w:rsid w:val="005B0F28"/>
    <w:rsid w:val="005B22B1"/>
    <w:rsid w:val="005B2C3A"/>
    <w:rsid w:val="005B2FEA"/>
    <w:rsid w:val="005B7E97"/>
    <w:rsid w:val="005C0974"/>
    <w:rsid w:val="005C1021"/>
    <w:rsid w:val="005C52D2"/>
    <w:rsid w:val="005C650C"/>
    <w:rsid w:val="005C6792"/>
    <w:rsid w:val="005C692E"/>
    <w:rsid w:val="005D3CB7"/>
    <w:rsid w:val="005D404F"/>
    <w:rsid w:val="005D46B8"/>
    <w:rsid w:val="005E02D3"/>
    <w:rsid w:val="005E3D62"/>
    <w:rsid w:val="005F279C"/>
    <w:rsid w:val="005F3688"/>
    <w:rsid w:val="005F531C"/>
    <w:rsid w:val="005F6DA5"/>
    <w:rsid w:val="00602B79"/>
    <w:rsid w:val="00605105"/>
    <w:rsid w:val="0060651B"/>
    <w:rsid w:val="00610545"/>
    <w:rsid w:val="00616726"/>
    <w:rsid w:val="00617165"/>
    <w:rsid w:val="00620797"/>
    <w:rsid w:val="006217F1"/>
    <w:rsid w:val="00622307"/>
    <w:rsid w:val="006227B7"/>
    <w:rsid w:val="006279C3"/>
    <w:rsid w:val="0063026C"/>
    <w:rsid w:val="00631ED4"/>
    <w:rsid w:val="006337BA"/>
    <w:rsid w:val="00634432"/>
    <w:rsid w:val="00640700"/>
    <w:rsid w:val="00643224"/>
    <w:rsid w:val="00646439"/>
    <w:rsid w:val="006530A9"/>
    <w:rsid w:val="006561A1"/>
    <w:rsid w:val="0065771C"/>
    <w:rsid w:val="00666D87"/>
    <w:rsid w:val="0066766C"/>
    <w:rsid w:val="00675FBC"/>
    <w:rsid w:val="006774C6"/>
    <w:rsid w:val="006775D5"/>
    <w:rsid w:val="006806A9"/>
    <w:rsid w:val="0068451F"/>
    <w:rsid w:val="00685D6F"/>
    <w:rsid w:val="00696122"/>
    <w:rsid w:val="006A2041"/>
    <w:rsid w:val="006A28C8"/>
    <w:rsid w:val="006A4911"/>
    <w:rsid w:val="006B6B5A"/>
    <w:rsid w:val="006C0BF0"/>
    <w:rsid w:val="006C1227"/>
    <w:rsid w:val="006C5476"/>
    <w:rsid w:val="006C65E9"/>
    <w:rsid w:val="006D1C82"/>
    <w:rsid w:val="006D2A61"/>
    <w:rsid w:val="006D2FD1"/>
    <w:rsid w:val="006D319A"/>
    <w:rsid w:val="006D67E4"/>
    <w:rsid w:val="006D7723"/>
    <w:rsid w:val="006E0ABB"/>
    <w:rsid w:val="006E0C6A"/>
    <w:rsid w:val="006E27F6"/>
    <w:rsid w:val="006E69DA"/>
    <w:rsid w:val="006E7DC4"/>
    <w:rsid w:val="006F0979"/>
    <w:rsid w:val="006F2893"/>
    <w:rsid w:val="006F4EC2"/>
    <w:rsid w:val="006F62CA"/>
    <w:rsid w:val="007041D0"/>
    <w:rsid w:val="00705FD7"/>
    <w:rsid w:val="00712EDB"/>
    <w:rsid w:val="00716D43"/>
    <w:rsid w:val="007217E0"/>
    <w:rsid w:val="00726E30"/>
    <w:rsid w:val="00733432"/>
    <w:rsid w:val="00734262"/>
    <w:rsid w:val="0073579C"/>
    <w:rsid w:val="00736910"/>
    <w:rsid w:val="0073731E"/>
    <w:rsid w:val="007455B6"/>
    <w:rsid w:val="007457C9"/>
    <w:rsid w:val="0074621A"/>
    <w:rsid w:val="007462CC"/>
    <w:rsid w:val="007509A0"/>
    <w:rsid w:val="0075289A"/>
    <w:rsid w:val="00753A30"/>
    <w:rsid w:val="007571CB"/>
    <w:rsid w:val="00757DD5"/>
    <w:rsid w:val="00765EA9"/>
    <w:rsid w:val="00766827"/>
    <w:rsid w:val="0077107B"/>
    <w:rsid w:val="00772E2F"/>
    <w:rsid w:val="00773E9B"/>
    <w:rsid w:val="00774B33"/>
    <w:rsid w:val="00776394"/>
    <w:rsid w:val="00776862"/>
    <w:rsid w:val="00780911"/>
    <w:rsid w:val="00782479"/>
    <w:rsid w:val="00785DC6"/>
    <w:rsid w:val="00786789"/>
    <w:rsid w:val="007872EF"/>
    <w:rsid w:val="0078753A"/>
    <w:rsid w:val="007933E9"/>
    <w:rsid w:val="00793D67"/>
    <w:rsid w:val="00797F00"/>
    <w:rsid w:val="007B2BE8"/>
    <w:rsid w:val="007B6EE8"/>
    <w:rsid w:val="007B715F"/>
    <w:rsid w:val="007B7543"/>
    <w:rsid w:val="007C5FED"/>
    <w:rsid w:val="007D00E2"/>
    <w:rsid w:val="007D0BB4"/>
    <w:rsid w:val="007D296F"/>
    <w:rsid w:val="007D51C7"/>
    <w:rsid w:val="007D5A2D"/>
    <w:rsid w:val="007D7EA0"/>
    <w:rsid w:val="007F75BA"/>
    <w:rsid w:val="00801807"/>
    <w:rsid w:val="008033B9"/>
    <w:rsid w:val="00806C5A"/>
    <w:rsid w:val="00812E5B"/>
    <w:rsid w:val="0081339D"/>
    <w:rsid w:val="00814471"/>
    <w:rsid w:val="00817BA5"/>
    <w:rsid w:val="008227DE"/>
    <w:rsid w:val="00835EF3"/>
    <w:rsid w:val="00836159"/>
    <w:rsid w:val="0084089C"/>
    <w:rsid w:val="00843367"/>
    <w:rsid w:val="00844366"/>
    <w:rsid w:val="00846BCB"/>
    <w:rsid w:val="008524F4"/>
    <w:rsid w:val="00853B25"/>
    <w:rsid w:val="008622CB"/>
    <w:rsid w:val="00864907"/>
    <w:rsid w:val="008655B5"/>
    <w:rsid w:val="00866F8F"/>
    <w:rsid w:val="00873D2C"/>
    <w:rsid w:val="00885693"/>
    <w:rsid w:val="00886DC4"/>
    <w:rsid w:val="0088747D"/>
    <w:rsid w:val="00890D08"/>
    <w:rsid w:val="00891EDC"/>
    <w:rsid w:val="00893D92"/>
    <w:rsid w:val="008953C8"/>
    <w:rsid w:val="00897777"/>
    <w:rsid w:val="00897EB0"/>
    <w:rsid w:val="008A3AD3"/>
    <w:rsid w:val="008B0276"/>
    <w:rsid w:val="008B4AB3"/>
    <w:rsid w:val="008B7256"/>
    <w:rsid w:val="008C18AD"/>
    <w:rsid w:val="008C35A8"/>
    <w:rsid w:val="008C442C"/>
    <w:rsid w:val="008C6A66"/>
    <w:rsid w:val="008D202F"/>
    <w:rsid w:val="008D3198"/>
    <w:rsid w:val="008D5F7D"/>
    <w:rsid w:val="008D786C"/>
    <w:rsid w:val="008E0BD9"/>
    <w:rsid w:val="008E4D5A"/>
    <w:rsid w:val="008F06C6"/>
    <w:rsid w:val="008F10F6"/>
    <w:rsid w:val="008F15A5"/>
    <w:rsid w:val="00902952"/>
    <w:rsid w:val="00905A51"/>
    <w:rsid w:val="00905B07"/>
    <w:rsid w:val="00917835"/>
    <w:rsid w:val="00921ACE"/>
    <w:rsid w:val="00922837"/>
    <w:rsid w:val="009256B1"/>
    <w:rsid w:val="00931E12"/>
    <w:rsid w:val="00933D31"/>
    <w:rsid w:val="0093761D"/>
    <w:rsid w:val="00940918"/>
    <w:rsid w:val="0094556B"/>
    <w:rsid w:val="0094760B"/>
    <w:rsid w:val="0095307D"/>
    <w:rsid w:val="00960F94"/>
    <w:rsid w:val="0096264F"/>
    <w:rsid w:val="00964C58"/>
    <w:rsid w:val="00965785"/>
    <w:rsid w:val="00965D00"/>
    <w:rsid w:val="00965EFA"/>
    <w:rsid w:val="009721AA"/>
    <w:rsid w:val="009737AC"/>
    <w:rsid w:val="00973C5F"/>
    <w:rsid w:val="00973DC8"/>
    <w:rsid w:val="00977451"/>
    <w:rsid w:val="00977A05"/>
    <w:rsid w:val="00977C57"/>
    <w:rsid w:val="009835A7"/>
    <w:rsid w:val="00984A33"/>
    <w:rsid w:val="00987F2C"/>
    <w:rsid w:val="0099126E"/>
    <w:rsid w:val="00994A13"/>
    <w:rsid w:val="00996A5B"/>
    <w:rsid w:val="009A01E6"/>
    <w:rsid w:val="009A130F"/>
    <w:rsid w:val="009B1B11"/>
    <w:rsid w:val="009B2690"/>
    <w:rsid w:val="009B2F77"/>
    <w:rsid w:val="009C53E2"/>
    <w:rsid w:val="009C547B"/>
    <w:rsid w:val="009C5EAA"/>
    <w:rsid w:val="009D2184"/>
    <w:rsid w:val="009D5D71"/>
    <w:rsid w:val="009D68FB"/>
    <w:rsid w:val="009D6DF3"/>
    <w:rsid w:val="009E35AC"/>
    <w:rsid w:val="009E752B"/>
    <w:rsid w:val="009F175D"/>
    <w:rsid w:val="009F2124"/>
    <w:rsid w:val="009F43A2"/>
    <w:rsid w:val="009F5345"/>
    <w:rsid w:val="009F7348"/>
    <w:rsid w:val="00A061CB"/>
    <w:rsid w:val="00A106D9"/>
    <w:rsid w:val="00A10D67"/>
    <w:rsid w:val="00A10D7A"/>
    <w:rsid w:val="00A21CD0"/>
    <w:rsid w:val="00A24BCA"/>
    <w:rsid w:val="00A24F95"/>
    <w:rsid w:val="00A251DB"/>
    <w:rsid w:val="00A276D0"/>
    <w:rsid w:val="00A31E30"/>
    <w:rsid w:val="00A33FA4"/>
    <w:rsid w:val="00A34991"/>
    <w:rsid w:val="00A37E8B"/>
    <w:rsid w:val="00A40BF9"/>
    <w:rsid w:val="00A424EA"/>
    <w:rsid w:val="00A425C0"/>
    <w:rsid w:val="00A4552C"/>
    <w:rsid w:val="00A5191B"/>
    <w:rsid w:val="00A5272F"/>
    <w:rsid w:val="00A52A64"/>
    <w:rsid w:val="00A61852"/>
    <w:rsid w:val="00A71D3C"/>
    <w:rsid w:val="00A77622"/>
    <w:rsid w:val="00A7777F"/>
    <w:rsid w:val="00A80D50"/>
    <w:rsid w:val="00A811F6"/>
    <w:rsid w:val="00A81FDF"/>
    <w:rsid w:val="00A8330C"/>
    <w:rsid w:val="00A83455"/>
    <w:rsid w:val="00A87549"/>
    <w:rsid w:val="00A90737"/>
    <w:rsid w:val="00A90D04"/>
    <w:rsid w:val="00A953B9"/>
    <w:rsid w:val="00AA0CEC"/>
    <w:rsid w:val="00AA560C"/>
    <w:rsid w:val="00AA5C1C"/>
    <w:rsid w:val="00AB369B"/>
    <w:rsid w:val="00AB4727"/>
    <w:rsid w:val="00AB6B55"/>
    <w:rsid w:val="00AC24E5"/>
    <w:rsid w:val="00AC296E"/>
    <w:rsid w:val="00AC6BEA"/>
    <w:rsid w:val="00AD0C93"/>
    <w:rsid w:val="00AD2F12"/>
    <w:rsid w:val="00AD5961"/>
    <w:rsid w:val="00AD6D2F"/>
    <w:rsid w:val="00AE4E71"/>
    <w:rsid w:val="00AE7556"/>
    <w:rsid w:val="00AF3247"/>
    <w:rsid w:val="00AF3A5F"/>
    <w:rsid w:val="00AF5151"/>
    <w:rsid w:val="00B11139"/>
    <w:rsid w:val="00B1481F"/>
    <w:rsid w:val="00B15BC2"/>
    <w:rsid w:val="00B16AD7"/>
    <w:rsid w:val="00B205EC"/>
    <w:rsid w:val="00B22491"/>
    <w:rsid w:val="00B22637"/>
    <w:rsid w:val="00B22804"/>
    <w:rsid w:val="00B23012"/>
    <w:rsid w:val="00B264A4"/>
    <w:rsid w:val="00B353EA"/>
    <w:rsid w:val="00B37B40"/>
    <w:rsid w:val="00B414F7"/>
    <w:rsid w:val="00B4236E"/>
    <w:rsid w:val="00B42B5F"/>
    <w:rsid w:val="00B45086"/>
    <w:rsid w:val="00B518AB"/>
    <w:rsid w:val="00B56591"/>
    <w:rsid w:val="00B56C89"/>
    <w:rsid w:val="00B57504"/>
    <w:rsid w:val="00B61C19"/>
    <w:rsid w:val="00B6206B"/>
    <w:rsid w:val="00B62CFB"/>
    <w:rsid w:val="00B665E2"/>
    <w:rsid w:val="00B702AC"/>
    <w:rsid w:val="00B8227F"/>
    <w:rsid w:val="00B85428"/>
    <w:rsid w:val="00B97389"/>
    <w:rsid w:val="00BA0CCD"/>
    <w:rsid w:val="00BA1682"/>
    <w:rsid w:val="00BB680A"/>
    <w:rsid w:val="00BB6B33"/>
    <w:rsid w:val="00BB6D29"/>
    <w:rsid w:val="00BC0FA7"/>
    <w:rsid w:val="00BC324D"/>
    <w:rsid w:val="00BD01F2"/>
    <w:rsid w:val="00BD212B"/>
    <w:rsid w:val="00BD4D45"/>
    <w:rsid w:val="00BD56F0"/>
    <w:rsid w:val="00BD5D21"/>
    <w:rsid w:val="00BE0BB5"/>
    <w:rsid w:val="00BE3555"/>
    <w:rsid w:val="00BE5047"/>
    <w:rsid w:val="00BE66DA"/>
    <w:rsid w:val="00BE6C58"/>
    <w:rsid w:val="00BF046D"/>
    <w:rsid w:val="00BF2A6F"/>
    <w:rsid w:val="00BF6639"/>
    <w:rsid w:val="00BF7D39"/>
    <w:rsid w:val="00C011E2"/>
    <w:rsid w:val="00C02C0E"/>
    <w:rsid w:val="00C110C4"/>
    <w:rsid w:val="00C12D1A"/>
    <w:rsid w:val="00C274EC"/>
    <w:rsid w:val="00C31157"/>
    <w:rsid w:val="00C34AF5"/>
    <w:rsid w:val="00C40A48"/>
    <w:rsid w:val="00C46659"/>
    <w:rsid w:val="00C51014"/>
    <w:rsid w:val="00C51432"/>
    <w:rsid w:val="00C5373A"/>
    <w:rsid w:val="00C54085"/>
    <w:rsid w:val="00C547BA"/>
    <w:rsid w:val="00C57DF9"/>
    <w:rsid w:val="00C60D69"/>
    <w:rsid w:val="00C63676"/>
    <w:rsid w:val="00C64C59"/>
    <w:rsid w:val="00C76622"/>
    <w:rsid w:val="00C77CEF"/>
    <w:rsid w:val="00C818CC"/>
    <w:rsid w:val="00C8196D"/>
    <w:rsid w:val="00C81987"/>
    <w:rsid w:val="00C82134"/>
    <w:rsid w:val="00C86063"/>
    <w:rsid w:val="00C916A8"/>
    <w:rsid w:val="00C93FD1"/>
    <w:rsid w:val="00C96307"/>
    <w:rsid w:val="00CA25FA"/>
    <w:rsid w:val="00CA7569"/>
    <w:rsid w:val="00CA767C"/>
    <w:rsid w:val="00CB5706"/>
    <w:rsid w:val="00CC0027"/>
    <w:rsid w:val="00CC0592"/>
    <w:rsid w:val="00CC2F67"/>
    <w:rsid w:val="00CD37D9"/>
    <w:rsid w:val="00CD4A75"/>
    <w:rsid w:val="00CE22FA"/>
    <w:rsid w:val="00CE2F2A"/>
    <w:rsid w:val="00CE4E48"/>
    <w:rsid w:val="00CF5716"/>
    <w:rsid w:val="00CF5A6C"/>
    <w:rsid w:val="00D01EB3"/>
    <w:rsid w:val="00D02803"/>
    <w:rsid w:val="00D10477"/>
    <w:rsid w:val="00D12829"/>
    <w:rsid w:val="00D129A8"/>
    <w:rsid w:val="00D16C4E"/>
    <w:rsid w:val="00D171C3"/>
    <w:rsid w:val="00D21003"/>
    <w:rsid w:val="00D30D4C"/>
    <w:rsid w:val="00D33457"/>
    <w:rsid w:val="00D3489E"/>
    <w:rsid w:val="00D348DD"/>
    <w:rsid w:val="00D351CA"/>
    <w:rsid w:val="00D40290"/>
    <w:rsid w:val="00D42372"/>
    <w:rsid w:val="00D42ABA"/>
    <w:rsid w:val="00D438AB"/>
    <w:rsid w:val="00D4626D"/>
    <w:rsid w:val="00D466A3"/>
    <w:rsid w:val="00D50C98"/>
    <w:rsid w:val="00D62FD3"/>
    <w:rsid w:val="00D67890"/>
    <w:rsid w:val="00D71E9E"/>
    <w:rsid w:val="00D72D00"/>
    <w:rsid w:val="00D742B7"/>
    <w:rsid w:val="00D81526"/>
    <w:rsid w:val="00D82D4E"/>
    <w:rsid w:val="00D844ED"/>
    <w:rsid w:val="00D8584F"/>
    <w:rsid w:val="00D91B61"/>
    <w:rsid w:val="00D95E97"/>
    <w:rsid w:val="00DA24F2"/>
    <w:rsid w:val="00DA25F5"/>
    <w:rsid w:val="00DA416D"/>
    <w:rsid w:val="00DA6739"/>
    <w:rsid w:val="00DB24AF"/>
    <w:rsid w:val="00DB250C"/>
    <w:rsid w:val="00DB2841"/>
    <w:rsid w:val="00DB470F"/>
    <w:rsid w:val="00DB7033"/>
    <w:rsid w:val="00DC0118"/>
    <w:rsid w:val="00DC1BE2"/>
    <w:rsid w:val="00DC4AE9"/>
    <w:rsid w:val="00DD4C1B"/>
    <w:rsid w:val="00DD6331"/>
    <w:rsid w:val="00DD6ACC"/>
    <w:rsid w:val="00DE3C61"/>
    <w:rsid w:val="00DE3FBD"/>
    <w:rsid w:val="00DE5679"/>
    <w:rsid w:val="00DF1449"/>
    <w:rsid w:val="00DF25EB"/>
    <w:rsid w:val="00DF65C4"/>
    <w:rsid w:val="00DF6913"/>
    <w:rsid w:val="00DF75CF"/>
    <w:rsid w:val="00E03347"/>
    <w:rsid w:val="00E0349D"/>
    <w:rsid w:val="00E14E34"/>
    <w:rsid w:val="00E175CE"/>
    <w:rsid w:val="00E24ABA"/>
    <w:rsid w:val="00E25A68"/>
    <w:rsid w:val="00E25AFE"/>
    <w:rsid w:val="00E262A2"/>
    <w:rsid w:val="00E270B8"/>
    <w:rsid w:val="00E40528"/>
    <w:rsid w:val="00E41B23"/>
    <w:rsid w:val="00E4660B"/>
    <w:rsid w:val="00E529E1"/>
    <w:rsid w:val="00E55CED"/>
    <w:rsid w:val="00E574E4"/>
    <w:rsid w:val="00E5793A"/>
    <w:rsid w:val="00E6659F"/>
    <w:rsid w:val="00E67979"/>
    <w:rsid w:val="00E70F58"/>
    <w:rsid w:val="00E73DD9"/>
    <w:rsid w:val="00E74FF2"/>
    <w:rsid w:val="00E75E3E"/>
    <w:rsid w:val="00E8321A"/>
    <w:rsid w:val="00E832C7"/>
    <w:rsid w:val="00E85B8B"/>
    <w:rsid w:val="00E86FD0"/>
    <w:rsid w:val="00E9021A"/>
    <w:rsid w:val="00E95762"/>
    <w:rsid w:val="00E96215"/>
    <w:rsid w:val="00E97833"/>
    <w:rsid w:val="00EA5033"/>
    <w:rsid w:val="00EA6459"/>
    <w:rsid w:val="00EA755C"/>
    <w:rsid w:val="00EA79D5"/>
    <w:rsid w:val="00EB15C6"/>
    <w:rsid w:val="00EB1D88"/>
    <w:rsid w:val="00EC6449"/>
    <w:rsid w:val="00ED06A6"/>
    <w:rsid w:val="00ED238B"/>
    <w:rsid w:val="00ED649B"/>
    <w:rsid w:val="00ED6641"/>
    <w:rsid w:val="00EE343F"/>
    <w:rsid w:val="00EE5782"/>
    <w:rsid w:val="00EF0189"/>
    <w:rsid w:val="00EF61CF"/>
    <w:rsid w:val="00F00E24"/>
    <w:rsid w:val="00F01AA1"/>
    <w:rsid w:val="00F02387"/>
    <w:rsid w:val="00F05BDE"/>
    <w:rsid w:val="00F0761F"/>
    <w:rsid w:val="00F11890"/>
    <w:rsid w:val="00F24C85"/>
    <w:rsid w:val="00F308F3"/>
    <w:rsid w:val="00F32C3F"/>
    <w:rsid w:val="00F32F0E"/>
    <w:rsid w:val="00F33BCE"/>
    <w:rsid w:val="00F37786"/>
    <w:rsid w:val="00F41E58"/>
    <w:rsid w:val="00F431B6"/>
    <w:rsid w:val="00F437E6"/>
    <w:rsid w:val="00F44B15"/>
    <w:rsid w:val="00F45EAA"/>
    <w:rsid w:val="00F479D6"/>
    <w:rsid w:val="00F53B19"/>
    <w:rsid w:val="00F578D0"/>
    <w:rsid w:val="00F636D8"/>
    <w:rsid w:val="00F6421E"/>
    <w:rsid w:val="00F709FA"/>
    <w:rsid w:val="00F769B8"/>
    <w:rsid w:val="00F81410"/>
    <w:rsid w:val="00F93A6D"/>
    <w:rsid w:val="00F966C6"/>
    <w:rsid w:val="00FA2D48"/>
    <w:rsid w:val="00FA3FA9"/>
    <w:rsid w:val="00FA4631"/>
    <w:rsid w:val="00FA7782"/>
    <w:rsid w:val="00FB10E4"/>
    <w:rsid w:val="00FB36F9"/>
    <w:rsid w:val="00FB7F43"/>
    <w:rsid w:val="00FC1F3A"/>
    <w:rsid w:val="00FC22AA"/>
    <w:rsid w:val="00FC3B71"/>
    <w:rsid w:val="00FC686F"/>
    <w:rsid w:val="00FD14BB"/>
    <w:rsid w:val="00FD4640"/>
    <w:rsid w:val="00FD5502"/>
    <w:rsid w:val="00FD6F4D"/>
    <w:rsid w:val="00FE1E28"/>
    <w:rsid w:val="00FF1115"/>
  </w:rsids>
  <m:mathPr>
    <m:mathFont m:val="Cambria Math"/>
    <m:brkBin m:val="before"/>
    <m:brkBinSub m:val="--"/>
    <m:smallFrac/>
    <m:dispDef/>
    <m:lMargin m:val="0"/>
    <m:rMargin m:val="0"/>
    <m:defJc m:val="centerGroup"/>
    <m:wrapRight/>
    <m:intLim m:val="subSup"/>
    <m:naryLim m:val="subSup"/>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7AF9204A"/>
  <w15:docId w15:val="{E9A1CF07-8C74-C045-B0F3-D3A33F29A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953C8"/>
    <w:rPr>
      <w:rFonts w:ascii="CRIMSON TEXT" w:hAnsi="CRIMSON TEXT"/>
      <w:spacing w:val="-4"/>
      <w:sz w:val="22"/>
      <w:szCs w:val="22"/>
    </w:rPr>
  </w:style>
  <w:style w:type="paragraph" w:styleId="Heading1">
    <w:name w:val="heading 1"/>
    <w:basedOn w:val="Normal"/>
    <w:next w:val="Heading2"/>
    <w:link w:val="Heading1Char"/>
    <w:uiPriority w:val="9"/>
    <w:qFormat/>
    <w:rsid w:val="00EF0189"/>
    <w:pPr>
      <w:keepNext/>
      <w:keepLines/>
      <w:spacing w:after="480" w:line="560" w:lineRule="exact"/>
      <w:outlineLvl w:val="0"/>
    </w:pPr>
    <w:rPr>
      <w:rFonts w:ascii="Myriad Pro" w:eastAsiaTheme="majorEastAsia" w:hAnsi="Myriad Pro" w:cstheme="majorBidi"/>
      <w:b/>
      <w:bCs/>
      <w:color w:val="1C8700"/>
      <w:spacing w:val="0"/>
      <w:sz w:val="64"/>
      <w:szCs w:val="28"/>
      <w:lang w:val="en-CA"/>
    </w:rPr>
  </w:style>
  <w:style w:type="paragraph" w:styleId="Heading2">
    <w:name w:val="heading 2"/>
    <w:basedOn w:val="Normal"/>
    <w:next w:val="Normal"/>
    <w:link w:val="Heading2Char"/>
    <w:uiPriority w:val="9"/>
    <w:unhideWhenUsed/>
    <w:qFormat/>
    <w:rsid w:val="002E3013"/>
    <w:pPr>
      <w:spacing w:after="840" w:line="840" w:lineRule="exact"/>
      <w:outlineLvl w:val="1"/>
    </w:pPr>
    <w:rPr>
      <w:rFonts w:ascii="Myriad Pro" w:eastAsia="Times New Roman" w:hAnsi="Myriad Pro" w:cs="Arial"/>
      <w:b/>
      <w:color w:val="000000" w:themeColor="text1"/>
      <w:sz w:val="84"/>
      <w:szCs w:val="29"/>
      <w:lang w:val="en-CA" w:eastAsia="en-US"/>
    </w:rPr>
  </w:style>
  <w:style w:type="paragraph" w:styleId="Heading3">
    <w:name w:val="heading 3"/>
    <w:basedOn w:val="Normal"/>
    <w:next w:val="Normal"/>
    <w:link w:val="Heading3Char"/>
    <w:uiPriority w:val="9"/>
    <w:unhideWhenUsed/>
    <w:qFormat/>
    <w:rsid w:val="00C86063"/>
    <w:pPr>
      <w:keepNext/>
      <w:keepLines/>
      <w:spacing w:before="200" w:after="120" w:line="280" w:lineRule="exact"/>
      <w:outlineLvl w:val="2"/>
    </w:pPr>
    <w:rPr>
      <w:rFonts w:ascii="Myriad Pro Light" w:eastAsiaTheme="majorEastAsia" w:hAnsi="Myriad Pro Light" w:cstheme="majorBidi"/>
      <w:b/>
      <w:color w:val="1C8700"/>
      <w:sz w:val="29"/>
      <w:szCs w:val="24"/>
      <w:lang w:val="en-CA"/>
    </w:rPr>
  </w:style>
  <w:style w:type="paragraph" w:styleId="Heading4">
    <w:name w:val="heading 4"/>
    <w:basedOn w:val="Normal"/>
    <w:next w:val="Normal"/>
    <w:link w:val="Heading4Char"/>
    <w:uiPriority w:val="9"/>
    <w:unhideWhenUsed/>
    <w:qFormat/>
    <w:rsid w:val="00616726"/>
    <w:pPr>
      <w:keepNext/>
      <w:keepLines/>
      <w:spacing w:before="80" w:after="40" w:line="240" w:lineRule="exact"/>
      <w:outlineLvl w:val="3"/>
    </w:pPr>
    <w:rPr>
      <w:rFonts w:ascii="Myriad Pro Light" w:eastAsiaTheme="majorEastAsia" w:hAnsi="Myriad Pro Light" w:cstheme="majorBidi"/>
      <w:b/>
      <w:iCs/>
      <w:color w:val="000000" w:themeColor="text1"/>
      <w:sz w:val="24"/>
    </w:rPr>
  </w:style>
  <w:style w:type="paragraph" w:styleId="Heading5">
    <w:name w:val="heading 5"/>
    <w:basedOn w:val="Normal"/>
    <w:next w:val="Normal"/>
    <w:link w:val="Heading5Char"/>
    <w:uiPriority w:val="9"/>
    <w:unhideWhenUsed/>
    <w:qFormat/>
    <w:rsid w:val="00C54085"/>
    <w:pPr>
      <w:keepNext/>
      <w:keepLines/>
      <w:spacing w:after="40" w:line="240" w:lineRule="atLeast"/>
      <w:outlineLvl w:val="4"/>
    </w:pPr>
    <w:rPr>
      <w:rFonts w:ascii="Myriad Pro" w:eastAsiaTheme="majorEastAsia" w:hAnsi="Myriad Pro" w:cstheme="majorBidi"/>
      <w:i/>
      <w:color w:val="365F91" w:themeColor="accent1" w:themeShade="BF"/>
      <w:sz w:val="20"/>
    </w:rPr>
  </w:style>
  <w:style w:type="paragraph" w:styleId="Heading6">
    <w:name w:val="heading 6"/>
    <w:basedOn w:val="Normal"/>
    <w:next w:val="Normal"/>
    <w:link w:val="Heading6Char"/>
    <w:uiPriority w:val="9"/>
    <w:unhideWhenUsed/>
    <w:rsid w:val="00487726"/>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C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2C3B"/>
    <w:rPr>
      <w:rFonts w:ascii="Lucida Grande" w:hAnsi="Lucida Grande" w:cs="Lucida Grande"/>
      <w:sz w:val="18"/>
      <w:szCs w:val="18"/>
    </w:rPr>
  </w:style>
  <w:style w:type="character" w:styleId="PageNumber">
    <w:name w:val="page number"/>
    <w:basedOn w:val="DefaultParagraphFont"/>
    <w:uiPriority w:val="99"/>
    <w:semiHidden/>
    <w:unhideWhenUsed/>
    <w:rsid w:val="00235D87"/>
  </w:style>
  <w:style w:type="character" w:styleId="Hyperlink">
    <w:name w:val="Hyperlink"/>
    <w:uiPriority w:val="99"/>
    <w:qFormat/>
    <w:rsid w:val="00E40528"/>
    <w:rPr>
      <w:rFonts w:cs="Times New Roman"/>
      <w:color w:val="1C8700"/>
      <w:u w:val="single"/>
    </w:rPr>
  </w:style>
  <w:style w:type="character" w:customStyle="1" w:styleId="Heading6Char">
    <w:name w:val="Heading 6 Char"/>
    <w:basedOn w:val="DefaultParagraphFont"/>
    <w:link w:val="Heading6"/>
    <w:uiPriority w:val="9"/>
    <w:rsid w:val="00487726"/>
    <w:rPr>
      <w:rFonts w:asciiTheme="majorHAnsi" w:eastAsiaTheme="majorEastAsia" w:hAnsiTheme="majorHAnsi" w:cstheme="majorBidi"/>
      <w:color w:val="243F60" w:themeColor="accent1" w:themeShade="7F"/>
      <w:spacing w:val="-4"/>
      <w:sz w:val="22"/>
      <w:szCs w:val="22"/>
    </w:rPr>
  </w:style>
  <w:style w:type="paragraph" w:styleId="Quote">
    <w:name w:val="Quote"/>
    <w:basedOn w:val="Normal"/>
    <w:next w:val="Normal"/>
    <w:link w:val="QuoteChar"/>
    <w:uiPriority w:val="29"/>
    <w:qFormat/>
    <w:rsid w:val="009E35AC"/>
    <w:pPr>
      <w:spacing w:before="200" w:after="200" w:line="240" w:lineRule="exact"/>
      <w:ind w:left="288"/>
    </w:pPr>
    <w:rPr>
      <w:i/>
      <w:iCs/>
      <w:lang w:val="en-CA"/>
    </w:rPr>
  </w:style>
  <w:style w:type="paragraph" w:customStyle="1" w:styleId="BodyText">
    <w:name w:val="BodyText"/>
    <w:rsid w:val="00431D48"/>
    <w:pPr>
      <w:spacing w:line="260" w:lineRule="exact"/>
    </w:pPr>
    <w:rPr>
      <w:rFonts w:ascii="CRIMSON TEXT" w:eastAsia="Times New Roman" w:hAnsi="CRIMSON TEXT" w:cs="Arial"/>
      <w:spacing w:val="-4"/>
      <w:sz w:val="22"/>
      <w:szCs w:val="22"/>
    </w:rPr>
  </w:style>
  <w:style w:type="character" w:customStyle="1" w:styleId="Heading2Char">
    <w:name w:val="Heading 2 Char"/>
    <w:basedOn w:val="DefaultParagraphFont"/>
    <w:link w:val="Heading2"/>
    <w:uiPriority w:val="9"/>
    <w:rsid w:val="002E3013"/>
    <w:rPr>
      <w:rFonts w:ascii="Myriad Pro" w:eastAsia="Times New Roman" w:hAnsi="Myriad Pro" w:cs="Arial"/>
      <w:b/>
      <w:color w:val="000000" w:themeColor="text1"/>
      <w:spacing w:val="-4"/>
      <w:sz w:val="84"/>
      <w:szCs w:val="29"/>
      <w:lang w:val="en-CA" w:eastAsia="en-US"/>
    </w:rPr>
  </w:style>
  <w:style w:type="paragraph" w:customStyle="1" w:styleId="Footnotes">
    <w:name w:val="Footnotes"/>
    <w:basedOn w:val="Normal"/>
    <w:qFormat/>
    <w:rsid w:val="000B522B"/>
    <w:pPr>
      <w:ind w:left="288" w:hanging="288"/>
    </w:pPr>
    <w:rPr>
      <w:rFonts w:ascii="Myriad Pro Light" w:eastAsiaTheme="minorHAnsi" w:hAnsi="Myriad Pro Light"/>
      <w:spacing w:val="0"/>
      <w:sz w:val="17"/>
      <w:szCs w:val="17"/>
      <w:lang w:val="en-CA" w:eastAsia="en-US"/>
    </w:rPr>
  </w:style>
  <w:style w:type="paragraph" w:customStyle="1" w:styleId="FrontPageDate">
    <w:name w:val="FrontPageDate"/>
    <w:rsid w:val="001E4173"/>
    <w:pPr>
      <w:jc w:val="right"/>
    </w:pPr>
    <w:rPr>
      <w:rFonts w:ascii="Myriad Pro" w:hAnsi="Myriad Pro"/>
      <w:b/>
      <w:bCs/>
      <w:spacing w:val="-1"/>
      <w:kern w:val="17"/>
      <w:sz w:val="17"/>
      <w:szCs w:val="17"/>
    </w:rPr>
  </w:style>
  <w:style w:type="paragraph" w:customStyle="1" w:styleId="HeaderFooter">
    <w:name w:val="HeaderFooter"/>
    <w:rsid w:val="001E4173"/>
    <w:pPr>
      <w:tabs>
        <w:tab w:val="right" w:pos="10080"/>
      </w:tabs>
    </w:pPr>
    <w:rPr>
      <w:rFonts w:ascii="Myriad Pro" w:hAnsi="Myriad Pro"/>
      <w:b/>
      <w:bCs/>
      <w:color w:val="9AD137"/>
      <w:spacing w:val="-1"/>
      <w:sz w:val="17"/>
      <w:szCs w:val="17"/>
    </w:rPr>
  </w:style>
  <w:style w:type="paragraph" w:styleId="ListParagraph">
    <w:name w:val="List Paragraph"/>
    <w:basedOn w:val="1-BodyText"/>
    <w:uiPriority w:val="1"/>
    <w:qFormat/>
    <w:rsid w:val="00E0349D"/>
    <w:pPr>
      <w:spacing w:after="160"/>
    </w:pPr>
  </w:style>
  <w:style w:type="character" w:styleId="CommentReference">
    <w:name w:val="annotation reference"/>
    <w:basedOn w:val="DefaultParagraphFont"/>
    <w:uiPriority w:val="99"/>
    <w:semiHidden/>
    <w:unhideWhenUsed/>
    <w:rsid w:val="00A80D50"/>
    <w:rPr>
      <w:sz w:val="16"/>
      <w:szCs w:val="16"/>
    </w:rPr>
  </w:style>
  <w:style w:type="paragraph" w:styleId="CommentText">
    <w:name w:val="annotation text"/>
    <w:basedOn w:val="Normal"/>
    <w:link w:val="CommentTextChar"/>
    <w:uiPriority w:val="99"/>
    <w:unhideWhenUsed/>
    <w:rsid w:val="00A80D50"/>
    <w:rPr>
      <w:sz w:val="20"/>
      <w:szCs w:val="20"/>
    </w:rPr>
  </w:style>
  <w:style w:type="character" w:customStyle="1" w:styleId="CommentTextChar">
    <w:name w:val="Comment Text Char"/>
    <w:basedOn w:val="DefaultParagraphFont"/>
    <w:link w:val="CommentText"/>
    <w:uiPriority w:val="99"/>
    <w:qFormat/>
    <w:rsid w:val="00A80D50"/>
    <w:rPr>
      <w:rFonts w:ascii="CRIMSON TEXT" w:hAnsi="CRIMSON TEXT"/>
      <w:spacing w:val="-4"/>
    </w:rPr>
  </w:style>
  <w:style w:type="paragraph" w:styleId="CommentSubject">
    <w:name w:val="annotation subject"/>
    <w:basedOn w:val="CommentText"/>
    <w:next w:val="CommentText"/>
    <w:link w:val="CommentSubjectChar"/>
    <w:uiPriority w:val="99"/>
    <w:semiHidden/>
    <w:unhideWhenUsed/>
    <w:rsid w:val="00A80D50"/>
    <w:rPr>
      <w:b/>
      <w:bCs/>
    </w:rPr>
  </w:style>
  <w:style w:type="character" w:customStyle="1" w:styleId="CommentSubjectChar">
    <w:name w:val="Comment Subject Char"/>
    <w:basedOn w:val="CommentTextChar"/>
    <w:link w:val="CommentSubject"/>
    <w:uiPriority w:val="99"/>
    <w:semiHidden/>
    <w:rsid w:val="00A80D50"/>
    <w:rPr>
      <w:rFonts w:ascii="CRIMSON TEXT" w:hAnsi="CRIMSON TEXT"/>
      <w:b/>
      <w:bCs/>
      <w:spacing w:val="-4"/>
    </w:rPr>
  </w:style>
  <w:style w:type="character" w:styleId="FollowedHyperlink">
    <w:name w:val="FollowedHyperlink"/>
    <w:basedOn w:val="DefaultParagraphFont"/>
    <w:uiPriority w:val="99"/>
    <w:semiHidden/>
    <w:unhideWhenUsed/>
    <w:rsid w:val="00602B79"/>
    <w:rPr>
      <w:color w:val="800080" w:themeColor="followedHyperlink"/>
      <w:u w:val="single"/>
    </w:rPr>
  </w:style>
  <w:style w:type="character" w:customStyle="1" w:styleId="Heading1Char">
    <w:name w:val="Heading 1 Char"/>
    <w:basedOn w:val="DefaultParagraphFont"/>
    <w:link w:val="Heading1"/>
    <w:uiPriority w:val="9"/>
    <w:rsid w:val="00EF0189"/>
    <w:rPr>
      <w:rFonts w:ascii="Myriad Pro" w:eastAsiaTheme="majorEastAsia" w:hAnsi="Myriad Pro" w:cstheme="majorBidi"/>
      <w:b/>
      <w:bCs/>
      <w:color w:val="1C8700"/>
      <w:sz w:val="64"/>
      <w:szCs w:val="28"/>
      <w:lang w:val="en-CA"/>
    </w:rPr>
  </w:style>
  <w:style w:type="character" w:customStyle="1" w:styleId="QuoteChar">
    <w:name w:val="Quote Char"/>
    <w:basedOn w:val="DefaultParagraphFont"/>
    <w:link w:val="Quote"/>
    <w:uiPriority w:val="29"/>
    <w:rsid w:val="009E35AC"/>
    <w:rPr>
      <w:rFonts w:ascii="CRIMSON TEXT" w:hAnsi="CRIMSON TEXT"/>
      <w:i/>
      <w:iCs/>
      <w:spacing w:val="-4"/>
      <w:sz w:val="22"/>
      <w:szCs w:val="22"/>
      <w:lang w:val="en-CA"/>
    </w:rPr>
  </w:style>
  <w:style w:type="paragraph" w:customStyle="1" w:styleId="1-BodyText">
    <w:name w:val="1-BodyText"/>
    <w:link w:val="1-BodyTextChar"/>
    <w:qFormat/>
    <w:rsid w:val="000B522B"/>
    <w:pPr>
      <w:spacing w:after="200" w:line="240" w:lineRule="exact"/>
    </w:pPr>
    <w:rPr>
      <w:rFonts w:ascii="CRIMSON TEXT" w:eastAsia="Times New Roman" w:hAnsi="CRIMSON TEXT" w:cs="Arial"/>
      <w:sz w:val="22"/>
      <w:szCs w:val="22"/>
      <w:lang w:val="en-CA" w:eastAsia="en-US"/>
    </w:rPr>
  </w:style>
  <w:style w:type="paragraph" w:customStyle="1" w:styleId="TableFirstrow">
    <w:name w:val="Table_First row"/>
    <w:basedOn w:val="Normal"/>
    <w:link w:val="TableFirstrowChar"/>
    <w:rsid w:val="004648C7"/>
    <w:pPr>
      <w:spacing w:before="60" w:line="260" w:lineRule="exact"/>
    </w:pPr>
    <w:rPr>
      <w:rFonts w:eastAsia="Times New Roman" w:cs="Times New Roman"/>
      <w:bCs/>
      <w:color w:val="000000"/>
      <w:lang w:eastAsia="en-US"/>
    </w:rPr>
  </w:style>
  <w:style w:type="character" w:customStyle="1" w:styleId="TableFirstrowChar">
    <w:name w:val="Table_First row Char"/>
    <w:basedOn w:val="DefaultParagraphFont"/>
    <w:link w:val="TableFirstrow"/>
    <w:rsid w:val="004648C7"/>
    <w:rPr>
      <w:rFonts w:ascii="CRIMSON TEXT" w:eastAsia="Times New Roman" w:hAnsi="CRIMSON TEXT" w:cs="Times New Roman"/>
      <w:bCs/>
      <w:color w:val="000000"/>
      <w:spacing w:val="-4"/>
      <w:sz w:val="22"/>
      <w:szCs w:val="22"/>
      <w:lang w:eastAsia="en-US"/>
    </w:rPr>
  </w:style>
  <w:style w:type="paragraph" w:customStyle="1" w:styleId="ReferenceBody">
    <w:name w:val="ReferenceBody"/>
    <w:basedOn w:val="1-BodyText"/>
    <w:qFormat/>
    <w:rsid w:val="00B353EA"/>
    <w:rPr>
      <w:rFonts w:ascii="Myriad Pro Light" w:eastAsia="Calibri" w:hAnsi="Myriad Pro Light"/>
      <w:i/>
      <w:sz w:val="19"/>
    </w:rPr>
  </w:style>
  <w:style w:type="table" w:customStyle="1" w:styleId="CAUT">
    <w:name w:val="CAUT"/>
    <w:basedOn w:val="TableNormal"/>
    <w:uiPriority w:val="99"/>
    <w:rsid w:val="003B61EE"/>
    <w:pPr>
      <w:spacing w:after="40"/>
    </w:pPr>
    <w:rPr>
      <w:rFonts w:ascii="CRIMSON TEXT" w:eastAsiaTheme="minorHAnsi" w:hAnsi="CRIMSON TEXT"/>
      <w:sz w:val="22"/>
      <w:lang w:eastAsia="en-US"/>
    </w:rPr>
    <w:tblPr>
      <w:tblBorders>
        <w:insideH w:val="single" w:sz="4" w:space="0" w:color="auto"/>
      </w:tblBorders>
      <w:tblCellMar>
        <w:left w:w="115" w:type="dxa"/>
        <w:right w:w="115" w:type="dxa"/>
      </w:tblCellMar>
    </w:tblPr>
    <w:tcPr>
      <w:vAlign w:val="center"/>
    </w:tcPr>
    <w:tblStylePr w:type="firstRow">
      <w:pPr>
        <w:wordWrap/>
        <w:spacing w:beforeLines="0" w:before="100" w:beforeAutospacing="1" w:line="240" w:lineRule="auto"/>
      </w:pPr>
      <w:rPr>
        <w:rFonts w:ascii="Myriad Pro Light" w:hAnsi="Myriad Pro Light"/>
        <w:b/>
        <w:i w:val="0"/>
        <w:sz w:val="20"/>
      </w:rPr>
    </w:tblStylePr>
    <w:tblStylePr w:type="nwCell">
      <w:rPr>
        <w:rFonts w:ascii="Myriad Pro" w:hAnsi="Myriad Pro"/>
        <w:b/>
        <w:i w:val="0"/>
        <w:sz w:val="22"/>
      </w:rPr>
    </w:tblStylePr>
  </w:style>
  <w:style w:type="paragraph" w:styleId="NormalWeb">
    <w:name w:val="Normal (Web)"/>
    <w:basedOn w:val="Normal"/>
    <w:uiPriority w:val="99"/>
    <w:semiHidden/>
    <w:unhideWhenUsed/>
    <w:rsid w:val="00173591"/>
    <w:pPr>
      <w:spacing w:before="100" w:beforeAutospacing="1" w:after="100" w:afterAutospacing="1"/>
    </w:pPr>
    <w:rPr>
      <w:rFonts w:ascii="Times New Roman" w:eastAsia="Times New Roman" w:hAnsi="Times New Roman" w:cs="Times New Roman"/>
      <w:spacing w:val="0"/>
      <w:sz w:val="24"/>
      <w:szCs w:val="24"/>
      <w:lang w:eastAsia="en-US"/>
    </w:rPr>
  </w:style>
  <w:style w:type="paragraph" w:styleId="Revision">
    <w:name w:val="Revision"/>
    <w:hidden/>
    <w:uiPriority w:val="99"/>
    <w:semiHidden/>
    <w:rsid w:val="001C4448"/>
    <w:rPr>
      <w:rFonts w:ascii="CRIMSON TEXT" w:hAnsi="CRIMSON TEXT"/>
      <w:spacing w:val="-4"/>
      <w:sz w:val="22"/>
      <w:szCs w:val="22"/>
    </w:rPr>
  </w:style>
  <w:style w:type="character" w:styleId="LineNumber">
    <w:name w:val="line number"/>
    <w:basedOn w:val="DefaultParagraphFont"/>
    <w:uiPriority w:val="99"/>
    <w:semiHidden/>
    <w:unhideWhenUsed/>
    <w:rsid w:val="00DF25EB"/>
  </w:style>
  <w:style w:type="character" w:customStyle="1" w:styleId="1-BodyTextChar">
    <w:name w:val="1-BodyText Char"/>
    <w:basedOn w:val="DefaultParagraphFont"/>
    <w:link w:val="1-BodyText"/>
    <w:rsid w:val="000B522B"/>
    <w:rPr>
      <w:rFonts w:ascii="CRIMSON TEXT" w:eastAsia="Times New Roman" w:hAnsi="CRIMSON TEXT" w:cs="Arial"/>
      <w:sz w:val="22"/>
      <w:szCs w:val="22"/>
      <w:lang w:val="en-CA" w:eastAsia="en-US"/>
    </w:rPr>
  </w:style>
  <w:style w:type="character" w:customStyle="1" w:styleId="Heading3Char">
    <w:name w:val="Heading 3 Char"/>
    <w:basedOn w:val="DefaultParagraphFont"/>
    <w:link w:val="Heading3"/>
    <w:uiPriority w:val="9"/>
    <w:rsid w:val="00C86063"/>
    <w:rPr>
      <w:rFonts w:ascii="Myriad Pro Light" w:eastAsiaTheme="majorEastAsia" w:hAnsi="Myriad Pro Light" w:cstheme="majorBidi"/>
      <w:b/>
      <w:color w:val="1C8700"/>
      <w:spacing w:val="-4"/>
      <w:sz w:val="29"/>
      <w:szCs w:val="24"/>
      <w:lang w:val="en-CA"/>
    </w:rPr>
  </w:style>
  <w:style w:type="character" w:customStyle="1" w:styleId="Heading4Char">
    <w:name w:val="Heading 4 Char"/>
    <w:basedOn w:val="DefaultParagraphFont"/>
    <w:link w:val="Heading4"/>
    <w:uiPriority w:val="9"/>
    <w:rsid w:val="00616726"/>
    <w:rPr>
      <w:rFonts w:ascii="Myriad Pro Light" w:eastAsiaTheme="majorEastAsia" w:hAnsi="Myriad Pro Light" w:cstheme="majorBidi"/>
      <w:b/>
      <w:iCs/>
      <w:color w:val="000000" w:themeColor="text1"/>
      <w:spacing w:val="-4"/>
      <w:sz w:val="24"/>
      <w:szCs w:val="22"/>
    </w:rPr>
  </w:style>
  <w:style w:type="character" w:customStyle="1" w:styleId="Heading5Char">
    <w:name w:val="Heading 5 Char"/>
    <w:basedOn w:val="DefaultParagraphFont"/>
    <w:link w:val="Heading5"/>
    <w:uiPriority w:val="9"/>
    <w:rsid w:val="00C54085"/>
    <w:rPr>
      <w:rFonts w:ascii="Myriad Pro" w:eastAsiaTheme="majorEastAsia" w:hAnsi="Myriad Pro" w:cstheme="majorBidi"/>
      <w:i/>
      <w:color w:val="365F91" w:themeColor="accent1" w:themeShade="BF"/>
      <w:spacing w:val="-4"/>
      <w:szCs w:val="22"/>
    </w:rPr>
  </w:style>
  <w:style w:type="paragraph" w:customStyle="1" w:styleId="BulletParagraph">
    <w:name w:val="Bullet Paragraph"/>
    <w:basedOn w:val="1-BodyText"/>
    <w:link w:val="BulletParagraphChar"/>
    <w:qFormat/>
    <w:rsid w:val="00E40528"/>
    <w:pPr>
      <w:numPr>
        <w:numId w:val="1"/>
      </w:numPr>
      <w:suppressAutoHyphens/>
      <w:spacing w:after="100"/>
    </w:pPr>
  </w:style>
  <w:style w:type="character" w:customStyle="1" w:styleId="BulletParagraphChar">
    <w:name w:val="Bullet Paragraph Char"/>
    <w:basedOn w:val="1-BodyTextChar"/>
    <w:link w:val="BulletParagraph"/>
    <w:rsid w:val="00812E5B"/>
    <w:rPr>
      <w:rFonts w:ascii="CRIMSON TEXT" w:eastAsia="Times New Roman" w:hAnsi="CRIMSON TEXT" w:cs="Arial"/>
      <w:sz w:val="22"/>
      <w:szCs w:val="22"/>
      <w:lang w:val="en-CA" w:eastAsia="en-US"/>
    </w:rPr>
  </w:style>
  <w:style w:type="table" w:styleId="PlainTable2">
    <w:name w:val="Plain Table 2"/>
    <w:aliases w:val="TableStyle_CAUT"/>
    <w:basedOn w:val="TableNormal"/>
    <w:uiPriority w:val="42"/>
    <w:rsid w:val="00592E8D"/>
    <w:rPr>
      <w:rFonts w:ascii="Myriad Pro" w:eastAsiaTheme="minorHAnsi" w:hAnsi="Myriad Pro"/>
      <w:szCs w:val="22"/>
      <w:lang w:val="en-CA" w:eastAsia="en-US"/>
    </w:rPr>
    <w:tblPr>
      <w:tblStyleRowBandSize w:val="1"/>
      <w:tblStyleColBandSize w:val="1"/>
      <w:tblBorders>
        <w:top w:val="single" w:sz="4" w:space="0" w:color="7F7F7F" w:themeColor="text1" w:themeTint="80"/>
        <w:bottom w:val="single" w:sz="4" w:space="0" w:color="7F7F7F" w:themeColor="text1" w:themeTint="80"/>
      </w:tblBorders>
    </w:tblPr>
    <w:tcPr>
      <w:shd w:val="clear" w:color="auto" w:fill="auto"/>
    </w:tcPr>
    <w:tblStylePr w:type="firstRow">
      <w:rPr>
        <w:b/>
        <w:bCs/>
      </w:rPr>
      <w:tblPr/>
      <w:tcPr>
        <w:tcBorders>
          <w:top w:val="nil"/>
          <w:bottom w:val="single" w:sz="6" w:space="0" w:color="auto"/>
        </w:tcBorders>
        <w:shd w:val="clear" w:color="auto" w:fill="auto"/>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DC1BE2"/>
    <w:rPr>
      <w:rFonts w:ascii="Myriad Pro" w:hAnsi="Myriad Pro"/>
    </w:rPr>
    <w:tblPr/>
  </w:style>
  <w:style w:type="table" w:styleId="TableGrid">
    <w:name w:val="Table Grid"/>
    <w:basedOn w:val="TableNormal"/>
    <w:uiPriority w:val="39"/>
    <w:rsid w:val="00DC1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UT2">
    <w:name w:val="CAUT2"/>
    <w:basedOn w:val="CAUT"/>
    <w:uiPriority w:val="99"/>
    <w:rsid w:val="004719DF"/>
    <w:rPr>
      <w:sz w:val="21"/>
    </w:rPr>
    <w:tblPr/>
    <w:tblStylePr w:type="firstRow">
      <w:pPr>
        <w:wordWrap/>
        <w:spacing w:beforeLines="0" w:before="100" w:beforeAutospacing="1" w:line="240" w:lineRule="auto"/>
      </w:pPr>
      <w:rPr>
        <w:rFonts w:ascii="Myriad Pro Light" w:hAnsi="Myriad Pro Light"/>
        <w:b/>
        <w:i w:val="0"/>
        <w:sz w:val="20"/>
      </w:rPr>
    </w:tblStylePr>
    <w:tblStylePr w:type="nwCell">
      <w:rPr>
        <w:rFonts w:ascii="Myriad Pro" w:hAnsi="Myriad Pro"/>
        <w:b/>
        <w:i w:val="0"/>
        <w:sz w:val="22"/>
      </w:rPr>
    </w:tblStylePr>
  </w:style>
  <w:style w:type="paragraph" w:styleId="Header">
    <w:name w:val="header"/>
    <w:basedOn w:val="Normal"/>
    <w:link w:val="HeaderChar"/>
    <w:uiPriority w:val="99"/>
    <w:unhideWhenUsed/>
    <w:rsid w:val="00583D4E"/>
    <w:pPr>
      <w:tabs>
        <w:tab w:val="center" w:pos="4680"/>
        <w:tab w:val="right" w:pos="9360"/>
      </w:tabs>
    </w:pPr>
  </w:style>
  <w:style w:type="character" w:customStyle="1" w:styleId="HeaderChar">
    <w:name w:val="Header Char"/>
    <w:basedOn w:val="DefaultParagraphFont"/>
    <w:link w:val="Header"/>
    <w:uiPriority w:val="99"/>
    <w:rsid w:val="00583D4E"/>
    <w:rPr>
      <w:rFonts w:ascii="CRIMSON TEXT" w:hAnsi="CRIMSON TEXT"/>
      <w:spacing w:val="-4"/>
      <w:sz w:val="22"/>
      <w:szCs w:val="22"/>
    </w:rPr>
  </w:style>
  <w:style w:type="paragraph" w:styleId="Footer">
    <w:name w:val="footer"/>
    <w:basedOn w:val="Normal"/>
    <w:link w:val="FooterChar"/>
    <w:uiPriority w:val="99"/>
    <w:unhideWhenUsed/>
    <w:rsid w:val="00583D4E"/>
    <w:pPr>
      <w:tabs>
        <w:tab w:val="center" w:pos="4680"/>
        <w:tab w:val="right" w:pos="9360"/>
      </w:tabs>
    </w:pPr>
  </w:style>
  <w:style w:type="character" w:customStyle="1" w:styleId="FooterChar">
    <w:name w:val="Footer Char"/>
    <w:basedOn w:val="DefaultParagraphFont"/>
    <w:link w:val="Footer"/>
    <w:uiPriority w:val="99"/>
    <w:rsid w:val="00583D4E"/>
    <w:rPr>
      <w:rFonts w:ascii="CRIMSON TEXT" w:hAnsi="CRIMSON TEXT"/>
      <w:spacing w:val="-4"/>
      <w:sz w:val="22"/>
      <w:szCs w:val="22"/>
    </w:rPr>
  </w:style>
  <w:style w:type="paragraph" w:customStyle="1" w:styleId="sources">
    <w:name w:val="sources"/>
    <w:basedOn w:val="Footnotes"/>
    <w:qFormat/>
    <w:rsid w:val="008D5F7D"/>
    <w:pPr>
      <w:spacing w:after="140"/>
      <w:ind w:left="0" w:firstLine="0"/>
    </w:pPr>
    <w:rPr>
      <w:rFonts w:ascii="CRIMSON TEXT" w:hAnsi="CRIMSON TEXT"/>
      <w:sz w:val="21"/>
    </w:rPr>
  </w:style>
  <w:style w:type="paragraph" w:customStyle="1" w:styleId="Coverdate">
    <w:name w:val="Cover date"/>
    <w:basedOn w:val="Heading2"/>
    <w:qFormat/>
    <w:rsid w:val="002E3013"/>
    <w:pPr>
      <w:spacing w:after="0" w:line="440" w:lineRule="exact"/>
    </w:pPr>
    <w:rPr>
      <w:rFonts w:ascii="Myriad Pro Light" w:hAnsi="Myriad Pro Light"/>
      <w:color w:val="808080"/>
      <w:sz w:val="44"/>
      <w:szCs w:val="48"/>
      <w:lang w:eastAsia="ja-JP"/>
      <w14:ligatures w14:val="standard"/>
      <w14:numForm w14:val="lining"/>
      <w14:numSpacing w14:val="proportional"/>
    </w:rPr>
  </w:style>
  <w:style w:type="numbering" w:customStyle="1" w:styleId="CurrentList1">
    <w:name w:val="Current List1"/>
    <w:uiPriority w:val="99"/>
    <w:rsid w:val="00E40528"/>
    <w:pPr>
      <w:numPr>
        <w:numId w:val="2"/>
      </w:numPr>
    </w:pPr>
  </w:style>
  <w:style w:type="paragraph" w:styleId="FootnoteText">
    <w:name w:val="footnote text"/>
    <w:basedOn w:val="Normal"/>
    <w:link w:val="FootnoteTextChar"/>
    <w:uiPriority w:val="99"/>
    <w:semiHidden/>
    <w:unhideWhenUsed/>
    <w:rsid w:val="00F308F3"/>
    <w:rPr>
      <w:rFonts w:ascii="Calibri" w:eastAsia="Calibri" w:hAnsi="Calibri" w:cs="Calibri"/>
      <w:spacing w:val="0"/>
      <w:sz w:val="20"/>
      <w:szCs w:val="20"/>
      <w:lang w:val="en-CA" w:eastAsia="en-US"/>
    </w:rPr>
  </w:style>
  <w:style w:type="character" w:customStyle="1" w:styleId="FootnoteTextChar">
    <w:name w:val="Footnote Text Char"/>
    <w:basedOn w:val="DefaultParagraphFont"/>
    <w:link w:val="FootnoteText"/>
    <w:uiPriority w:val="99"/>
    <w:semiHidden/>
    <w:rsid w:val="00F308F3"/>
    <w:rPr>
      <w:rFonts w:ascii="Calibri" w:eastAsia="Calibri" w:hAnsi="Calibri" w:cs="Calibri"/>
      <w:lang w:val="en-CA" w:eastAsia="en-US"/>
    </w:rPr>
  </w:style>
  <w:style w:type="character" w:styleId="FootnoteReference">
    <w:name w:val="footnote reference"/>
    <w:basedOn w:val="DefaultParagraphFont"/>
    <w:uiPriority w:val="99"/>
    <w:semiHidden/>
    <w:unhideWhenUsed/>
    <w:rsid w:val="00F308F3"/>
    <w:rPr>
      <w:vertAlign w:val="superscript"/>
    </w:rPr>
  </w:style>
  <w:style w:type="character" w:customStyle="1" w:styleId="ui-provider">
    <w:name w:val="ui-provider"/>
    <w:basedOn w:val="DefaultParagraphFont"/>
    <w:rsid w:val="00905A51"/>
  </w:style>
  <w:style w:type="character" w:styleId="UnresolvedMention">
    <w:name w:val="Unresolved Mention"/>
    <w:basedOn w:val="DefaultParagraphFont"/>
    <w:uiPriority w:val="99"/>
    <w:semiHidden/>
    <w:unhideWhenUsed/>
    <w:rsid w:val="006E7D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444318">
      <w:bodyDiv w:val="1"/>
      <w:marLeft w:val="0"/>
      <w:marRight w:val="0"/>
      <w:marTop w:val="0"/>
      <w:marBottom w:val="0"/>
      <w:divBdr>
        <w:top w:val="none" w:sz="0" w:space="0" w:color="auto"/>
        <w:left w:val="none" w:sz="0" w:space="0" w:color="auto"/>
        <w:bottom w:val="none" w:sz="0" w:space="0" w:color="auto"/>
        <w:right w:val="none" w:sz="0" w:space="0" w:color="auto"/>
      </w:divBdr>
    </w:div>
    <w:div w:id="447050727">
      <w:bodyDiv w:val="1"/>
      <w:marLeft w:val="0"/>
      <w:marRight w:val="0"/>
      <w:marTop w:val="0"/>
      <w:marBottom w:val="0"/>
      <w:divBdr>
        <w:top w:val="none" w:sz="0" w:space="0" w:color="auto"/>
        <w:left w:val="none" w:sz="0" w:space="0" w:color="auto"/>
        <w:bottom w:val="none" w:sz="0" w:space="0" w:color="auto"/>
        <w:right w:val="none" w:sz="0" w:space="0" w:color="auto"/>
      </w:divBdr>
    </w:div>
    <w:div w:id="732504732">
      <w:bodyDiv w:val="1"/>
      <w:marLeft w:val="0"/>
      <w:marRight w:val="0"/>
      <w:marTop w:val="0"/>
      <w:marBottom w:val="0"/>
      <w:divBdr>
        <w:top w:val="none" w:sz="0" w:space="0" w:color="auto"/>
        <w:left w:val="none" w:sz="0" w:space="0" w:color="auto"/>
        <w:bottom w:val="none" w:sz="0" w:space="0" w:color="auto"/>
        <w:right w:val="none" w:sz="0" w:space="0" w:color="auto"/>
      </w:divBdr>
    </w:div>
    <w:div w:id="878476909">
      <w:bodyDiv w:val="1"/>
      <w:marLeft w:val="0"/>
      <w:marRight w:val="0"/>
      <w:marTop w:val="0"/>
      <w:marBottom w:val="0"/>
      <w:divBdr>
        <w:top w:val="none" w:sz="0" w:space="0" w:color="auto"/>
        <w:left w:val="none" w:sz="0" w:space="0" w:color="auto"/>
        <w:bottom w:val="none" w:sz="0" w:space="0" w:color="auto"/>
        <w:right w:val="none" w:sz="0" w:space="0" w:color="auto"/>
      </w:divBdr>
    </w:div>
    <w:div w:id="938679168">
      <w:bodyDiv w:val="1"/>
      <w:marLeft w:val="0"/>
      <w:marRight w:val="0"/>
      <w:marTop w:val="0"/>
      <w:marBottom w:val="0"/>
      <w:divBdr>
        <w:top w:val="none" w:sz="0" w:space="0" w:color="auto"/>
        <w:left w:val="none" w:sz="0" w:space="0" w:color="auto"/>
        <w:bottom w:val="none" w:sz="0" w:space="0" w:color="auto"/>
        <w:right w:val="none" w:sz="0" w:space="0" w:color="auto"/>
      </w:divBdr>
    </w:div>
    <w:div w:id="1159275071">
      <w:bodyDiv w:val="1"/>
      <w:marLeft w:val="0"/>
      <w:marRight w:val="0"/>
      <w:marTop w:val="0"/>
      <w:marBottom w:val="0"/>
      <w:divBdr>
        <w:top w:val="none" w:sz="0" w:space="0" w:color="auto"/>
        <w:left w:val="none" w:sz="0" w:space="0" w:color="auto"/>
        <w:bottom w:val="none" w:sz="0" w:space="0" w:color="auto"/>
        <w:right w:val="none" w:sz="0" w:space="0" w:color="auto"/>
      </w:divBdr>
    </w:div>
    <w:div w:id="1233269612">
      <w:bodyDiv w:val="1"/>
      <w:marLeft w:val="0"/>
      <w:marRight w:val="0"/>
      <w:marTop w:val="0"/>
      <w:marBottom w:val="0"/>
      <w:divBdr>
        <w:top w:val="none" w:sz="0" w:space="0" w:color="auto"/>
        <w:left w:val="none" w:sz="0" w:space="0" w:color="auto"/>
        <w:bottom w:val="none" w:sz="0" w:space="0" w:color="auto"/>
        <w:right w:val="none" w:sz="0" w:space="0" w:color="auto"/>
      </w:divBdr>
    </w:div>
    <w:div w:id="1342468527">
      <w:bodyDiv w:val="1"/>
      <w:marLeft w:val="0"/>
      <w:marRight w:val="0"/>
      <w:marTop w:val="0"/>
      <w:marBottom w:val="0"/>
      <w:divBdr>
        <w:top w:val="none" w:sz="0" w:space="0" w:color="auto"/>
        <w:left w:val="none" w:sz="0" w:space="0" w:color="auto"/>
        <w:bottom w:val="none" w:sz="0" w:space="0" w:color="auto"/>
        <w:right w:val="none" w:sz="0" w:space="0" w:color="auto"/>
      </w:divBdr>
    </w:div>
    <w:div w:id="1554123420">
      <w:bodyDiv w:val="1"/>
      <w:marLeft w:val="0"/>
      <w:marRight w:val="0"/>
      <w:marTop w:val="0"/>
      <w:marBottom w:val="0"/>
      <w:divBdr>
        <w:top w:val="none" w:sz="0" w:space="0" w:color="auto"/>
        <w:left w:val="none" w:sz="0" w:space="0" w:color="auto"/>
        <w:bottom w:val="none" w:sz="0" w:space="0" w:color="auto"/>
        <w:right w:val="none" w:sz="0" w:space="0" w:color="auto"/>
      </w:divBdr>
    </w:div>
    <w:div w:id="1744256624">
      <w:bodyDiv w:val="1"/>
      <w:marLeft w:val="0"/>
      <w:marRight w:val="0"/>
      <w:marTop w:val="0"/>
      <w:marBottom w:val="0"/>
      <w:divBdr>
        <w:top w:val="none" w:sz="0" w:space="0" w:color="auto"/>
        <w:left w:val="none" w:sz="0" w:space="0" w:color="auto"/>
        <w:bottom w:val="none" w:sz="0" w:space="0" w:color="auto"/>
        <w:right w:val="none" w:sz="0" w:space="0" w:color="auto"/>
      </w:divBdr>
    </w:div>
    <w:div w:id="1789932598">
      <w:bodyDiv w:val="1"/>
      <w:marLeft w:val="0"/>
      <w:marRight w:val="0"/>
      <w:marTop w:val="0"/>
      <w:marBottom w:val="0"/>
      <w:divBdr>
        <w:top w:val="none" w:sz="0" w:space="0" w:color="auto"/>
        <w:left w:val="none" w:sz="0" w:space="0" w:color="auto"/>
        <w:bottom w:val="none" w:sz="0" w:space="0" w:color="auto"/>
        <w:right w:val="none" w:sz="0" w:space="0" w:color="auto"/>
      </w:divBdr>
    </w:div>
    <w:div w:id="1838115011">
      <w:bodyDiv w:val="1"/>
      <w:marLeft w:val="0"/>
      <w:marRight w:val="0"/>
      <w:marTop w:val="0"/>
      <w:marBottom w:val="0"/>
      <w:divBdr>
        <w:top w:val="none" w:sz="0" w:space="0" w:color="auto"/>
        <w:left w:val="none" w:sz="0" w:space="0" w:color="auto"/>
        <w:bottom w:val="none" w:sz="0" w:space="0" w:color="auto"/>
        <w:right w:val="none" w:sz="0" w:space="0" w:color="auto"/>
      </w:divBdr>
    </w:div>
    <w:div w:id="19840373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ised-isde.canada.ca/site/panel-federal-research-support/en/report-advisory-panel-federal-research-support-system"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notes.xml.rels><?xml version="1.0" encoding="UTF-8" standalone="yes"?>
<Relationships xmlns="http://schemas.openxmlformats.org/package/2006/relationships"><Relationship Id="rId3" Type="http://schemas.openxmlformats.org/officeDocument/2006/relationships/hyperlink" Target="https://www150.statcan.gc.ca/t1/tbl1/en/tv.action?pid=3710014401" TargetMode="External"/><Relationship Id="rId2" Type="http://schemas.openxmlformats.org/officeDocument/2006/relationships/hyperlink" Target="https://cfsontario.ca/wp-content/uploads/2017/07/Factsheet-GraduateMentalHealth.pdf" TargetMode="External"/><Relationship Id="rId1" Type="http://schemas.openxmlformats.org/officeDocument/2006/relationships/hyperlink" Target="https://education.macleans.ca/feature/inside-the-mental-health-crisis-at-canadian-universiti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D059BE4FDDF7A4E8E8059717511684C" ma:contentTypeVersion="14" ma:contentTypeDescription="Create a new document." ma:contentTypeScope="" ma:versionID="43ef60e7a99a4724ff23db516291e597">
  <xsd:schema xmlns:xsd="http://www.w3.org/2001/XMLSchema" xmlns:xs="http://www.w3.org/2001/XMLSchema" xmlns:p="http://schemas.microsoft.com/office/2006/metadata/properties" xmlns:ns2="646662bc-ea71-4276-9617-bb3b32bbd23c" xmlns:ns3="486fe4ec-7103-4269-85bd-580501b900e0" targetNamespace="http://schemas.microsoft.com/office/2006/metadata/properties" ma:root="true" ma:fieldsID="88f13e0b8f47e1a63686da5fd1432baf" ns2:_="" ns3:_="">
    <xsd:import namespace="646662bc-ea71-4276-9617-bb3b32bbd23c"/>
    <xsd:import namespace="486fe4ec-7103-4269-85bd-580501b900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662bc-ea71-4276-9617-bb3b32bbd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54a4cb1-6797-492a-a480-fb4eeb40b23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86fe4ec-7103-4269-85bd-580501b900e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bc51e79-9d89-4228-99a4-722b5e0fa803}" ma:internalName="TaxCatchAll" ma:showField="CatchAllData" ma:web="486fe4ec-7103-4269-85bd-580501b900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86fe4ec-7103-4269-85bd-580501b900e0" xsi:nil="true"/>
    <lcf76f155ced4ddcb4097134ff3c332f xmlns="646662bc-ea71-4276-9617-bb3b32bbd23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2D544-00DC-428E-B5CD-40ADAB52FB03}">
  <ds:schemaRefs>
    <ds:schemaRef ds:uri="http://schemas.microsoft.com/sharepoint/v3/contenttype/forms"/>
  </ds:schemaRefs>
</ds:datastoreItem>
</file>

<file path=customXml/itemProps2.xml><?xml version="1.0" encoding="utf-8"?>
<ds:datastoreItem xmlns:ds="http://schemas.openxmlformats.org/officeDocument/2006/customXml" ds:itemID="{B0FBFFA7-4DC3-4FA8-BAF4-6D11183147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6662bc-ea71-4276-9617-bb3b32bbd23c"/>
    <ds:schemaRef ds:uri="486fe4ec-7103-4269-85bd-580501b900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208096-57D9-454C-8C3A-477B32F8856F}">
  <ds:schemaRefs>
    <ds:schemaRef ds:uri="http://schemas.microsoft.com/office/2006/metadata/properties"/>
    <ds:schemaRef ds:uri="http://schemas.microsoft.com/office/infopath/2007/PartnerControls"/>
    <ds:schemaRef ds:uri="486fe4ec-7103-4269-85bd-580501b900e0"/>
    <ds:schemaRef ds:uri="646662bc-ea71-4276-9617-bb3b32bbd23c"/>
  </ds:schemaRefs>
</ds:datastoreItem>
</file>

<file path=customXml/itemProps4.xml><?xml version="1.0" encoding="utf-8"?>
<ds:datastoreItem xmlns:ds="http://schemas.openxmlformats.org/officeDocument/2006/customXml" ds:itemID="{200B103C-C68F-2D4A-8843-D72BB0A87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Pages>
  <Words>1261</Words>
  <Characters>7193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CAUT</Company>
  <LinksUpToDate>false</LinksUpToDate>
  <CharactersWithSpaces>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CAUT</dc:creator>
  <cp:keywords>bargaining advisory</cp:keywords>
  <dc:description/>
  <cp:lastModifiedBy>Nicole Gagné</cp:lastModifiedBy>
  <cp:revision>36</cp:revision>
  <cp:lastPrinted>2023-06-13T19:15:00Z</cp:lastPrinted>
  <dcterms:created xsi:type="dcterms:W3CDTF">2023-06-13T18:51:00Z</dcterms:created>
  <dcterms:modified xsi:type="dcterms:W3CDTF">2023-06-14T19:51:00Z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0x0101005D059BE4FDDF7A4E8E8059717511684C</vt:lpwstr>
  </property>
  <property fmtid="{D5CDD505-2E9C-101B-9397-08002B2CF9AE}" pid="3" name="Order">
    <vt:r8>205000</vt:r8>
  </property>
  <property fmtid="{D5CDD505-2E9C-101B-9397-08002B2CF9AE}" pid="4" name="MediaServiceImageTags">
    <vt:lpwstr/>
  </property>
  <property fmtid="{D5CDD505-2E9C-101B-9397-08002B2CF9AE}" pid="5" name="MSIP_Label_bd3968e8-c45d-45f4-aba1-48bd0eaca326_Enabled">
    <vt:lpwstr>true</vt:lpwstr>
  </property>
  <property fmtid="{D5CDD505-2E9C-101B-9397-08002B2CF9AE}" pid="6" name="MSIP_Label_bd3968e8-c45d-45f4-aba1-48bd0eaca326_SetDate">
    <vt:lpwstr>2023-06-13T18:22:17Z</vt:lpwstr>
  </property>
  <property fmtid="{D5CDD505-2E9C-101B-9397-08002B2CF9AE}" pid="7" name="MSIP_Label_bd3968e8-c45d-45f4-aba1-48bd0eaca326_Method">
    <vt:lpwstr>Standard</vt:lpwstr>
  </property>
  <property fmtid="{D5CDD505-2E9C-101B-9397-08002B2CF9AE}" pid="8" name="MSIP_Label_bd3968e8-c45d-45f4-aba1-48bd0eaca326_Name">
    <vt:lpwstr>General</vt:lpwstr>
  </property>
  <property fmtid="{D5CDD505-2E9C-101B-9397-08002B2CF9AE}" pid="9" name="MSIP_Label_bd3968e8-c45d-45f4-aba1-48bd0eaca326_SiteId">
    <vt:lpwstr>d532e20f-5090-4383-a7b9-aa5204b87eed</vt:lpwstr>
  </property>
  <property fmtid="{D5CDD505-2E9C-101B-9397-08002B2CF9AE}" pid="10" name="MSIP_Label_bd3968e8-c45d-45f4-aba1-48bd0eaca326_ActionId">
    <vt:lpwstr>c36dc127-6710-445e-b29c-caafea6b7b0c</vt:lpwstr>
  </property>
  <property fmtid="{D5CDD505-2E9C-101B-9397-08002B2CF9AE}" pid="11" name="MSIP_Label_bd3968e8-c45d-45f4-aba1-48bd0eaca326_ContentBits">
    <vt:lpwstr>0</vt:lpwstr>
  </property>
</Properties>
</file>